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CA230" w14:textId="614373A4" w:rsidR="00B1160D" w:rsidRPr="00011D6B" w:rsidRDefault="00DF6023" w:rsidP="004A19D4">
      <w:pPr>
        <w:ind w:leftChars="0" w:left="0" w:firstLineChars="0" w:firstLine="0"/>
        <w:jc w:val="center"/>
        <w:rPr>
          <w:sz w:val="24"/>
          <w:szCs w:val="24"/>
          <w:lang w:val="es-CL"/>
        </w:rPr>
      </w:pPr>
      <w:proofErr w:type="spellStart"/>
      <w:r w:rsidRPr="00011D6B">
        <w:rPr>
          <w:b/>
          <w:sz w:val="24"/>
          <w:szCs w:val="24"/>
          <w:lang w:val="es-CL"/>
        </w:rPr>
        <w:t>Compositos</w:t>
      </w:r>
      <w:proofErr w:type="spellEnd"/>
      <w:r w:rsidRPr="00011D6B">
        <w:rPr>
          <w:b/>
          <w:sz w:val="24"/>
          <w:szCs w:val="24"/>
          <w:lang w:val="es-CL"/>
        </w:rPr>
        <w:t xml:space="preserve"> híbridos formados por policarbonato, nanopartículas de óxido de bismuto y nanoplaquetas de grafeno para recubrimientos contra los rayos cósmicos</w:t>
      </w:r>
    </w:p>
    <w:p w14:paraId="2566B7B9" w14:textId="77777777" w:rsidR="00B1160D" w:rsidRPr="00011D6B" w:rsidRDefault="00B1160D">
      <w:pPr>
        <w:ind w:left="1" w:hanging="3"/>
        <w:jc w:val="center"/>
        <w:rPr>
          <w:sz w:val="28"/>
          <w:szCs w:val="28"/>
          <w:lang w:val="es-CL"/>
        </w:rPr>
      </w:pPr>
    </w:p>
    <w:p w14:paraId="70A2F518" w14:textId="77777777" w:rsidR="00B1160D" w:rsidRPr="00DF6023" w:rsidRDefault="001C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R.Gutiérrez</w:t>
      </w:r>
      <w:proofErr w:type="spellEnd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 </w:t>
      </w: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Figueroa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a</w:t>
      </w:r>
      <w:proofErr w:type="spellEnd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, V. </w:t>
      </w: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Villalobos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a</w:t>
      </w:r>
      <w:proofErr w:type="spellEnd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, M. </w:t>
      </w: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Yazdani-Pedram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b</w:t>
      </w:r>
      <w:proofErr w:type="spellEnd"/>
      <w:proofErr w:type="gram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,.</w:t>
      </w:r>
      <w:proofErr w:type="gramEnd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 </w:t>
      </w:r>
    </w:p>
    <w:p w14:paraId="36A18A99" w14:textId="77777777" w:rsidR="00B1160D" w:rsidRPr="00DF6023" w:rsidRDefault="001C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H. Aguilar </w:t>
      </w: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Bolados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c</w:t>
      </w:r>
      <w:proofErr w:type="spellEnd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. M. Urzúa </w:t>
      </w:r>
      <w:proofErr w:type="spellStart"/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>Acevedo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a</w:t>
      </w:r>
      <w:proofErr w:type="spellEnd"/>
    </w:p>
    <w:p w14:paraId="6E4EEEF7" w14:textId="77777777" w:rsidR="00B1160D" w:rsidRPr="00DF6023" w:rsidRDefault="00B11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</w:p>
    <w:p w14:paraId="580D2A94" w14:textId="12527F49" w:rsidR="00B1160D" w:rsidRPr="00DF6023" w:rsidRDefault="001C22BD" w:rsidP="004A19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a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 Facultad de Ciencias, Universidad de Chile, Santiago, Chile.</w:t>
      </w:r>
    </w:p>
    <w:p w14:paraId="5CA9952D" w14:textId="00309A10" w:rsidR="00B1160D" w:rsidRPr="00DF6023" w:rsidRDefault="001C22BD" w:rsidP="004A19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b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 Facultad de Ciencias Químicas y Farmacéuticas, Universidad de Chile, Santiago, Chile.</w:t>
      </w:r>
    </w:p>
    <w:p w14:paraId="70CCB510" w14:textId="77777777" w:rsidR="00B1160D" w:rsidRPr="00DF6023" w:rsidRDefault="001C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2"/>
          <w:szCs w:val="22"/>
          <w:lang w:val="es-CL"/>
        </w:rPr>
      </w:pPr>
      <w:r w:rsidRPr="00DF6023">
        <w:rPr>
          <w:rFonts w:ascii="Helvetica Neue" w:hAnsi="Helvetica Neue" w:cs="Helvetica Neue"/>
          <w:i/>
          <w:color w:val="000000"/>
          <w:sz w:val="22"/>
          <w:szCs w:val="22"/>
          <w:vertAlign w:val="superscript"/>
          <w:lang w:val="es-CL"/>
        </w:rPr>
        <w:t>c</w:t>
      </w:r>
      <w:r w:rsidRPr="00DF6023">
        <w:rPr>
          <w:rFonts w:ascii="Helvetica Neue" w:hAnsi="Helvetica Neue" w:cs="Helvetica Neue"/>
          <w:i/>
          <w:color w:val="000000"/>
          <w:sz w:val="22"/>
          <w:szCs w:val="22"/>
          <w:lang w:val="es-CL"/>
        </w:rPr>
        <w:t xml:space="preserve"> Facultad de Ciencias Químicas, Universidad de Concepción, Concepción, Chile. </w:t>
      </w:r>
    </w:p>
    <w:p w14:paraId="784B1F38" w14:textId="77777777" w:rsidR="00B1160D" w:rsidRPr="00DF6023" w:rsidRDefault="001C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1155CC"/>
          <w:sz w:val="22"/>
          <w:szCs w:val="22"/>
        </w:rPr>
      </w:pPr>
      <w:r w:rsidRPr="00DF6023">
        <w:rPr>
          <w:rFonts w:ascii="Helvetica Neue" w:hAnsi="Helvetica Neue" w:cs="Helvetica Neue"/>
          <w:i/>
          <w:color w:val="000000"/>
          <w:sz w:val="22"/>
          <w:szCs w:val="22"/>
        </w:rPr>
        <w:t xml:space="preserve">Email: </w:t>
      </w:r>
      <w:hyperlink r:id="rId9">
        <w:r w:rsidRPr="00DF6023">
          <w:rPr>
            <w:rFonts w:ascii="Helvetica Neue" w:hAnsi="Helvetica Neue" w:cs="Helvetica Neue"/>
            <w:i/>
            <w:color w:val="1155CC"/>
            <w:sz w:val="22"/>
            <w:szCs w:val="22"/>
            <w:u w:val="single"/>
          </w:rPr>
          <w:t>haguilar@udec.cl</w:t>
        </w:r>
      </w:hyperlink>
      <w:r w:rsidRPr="00DF6023">
        <w:rPr>
          <w:rFonts w:ascii="Helvetica Neue" w:hAnsi="Helvetica Neue" w:cs="Helvetica Neue"/>
          <w:i/>
          <w:color w:val="000000"/>
          <w:sz w:val="22"/>
          <w:szCs w:val="22"/>
        </w:rPr>
        <w:t xml:space="preserve">; </w:t>
      </w:r>
      <w:hyperlink r:id="rId10">
        <w:r w:rsidRPr="00DF6023">
          <w:rPr>
            <w:rFonts w:ascii="Helvetica Neue" w:hAnsi="Helvetica Neue" w:cs="Helvetica Neue"/>
            <w:i/>
            <w:color w:val="1155CC"/>
            <w:sz w:val="22"/>
            <w:szCs w:val="22"/>
            <w:u w:val="single"/>
          </w:rPr>
          <w:t>maurzua@uchile.cl</w:t>
        </w:r>
      </w:hyperlink>
    </w:p>
    <w:p w14:paraId="74F9A3A6" w14:textId="77777777" w:rsidR="00B1160D" w:rsidRPr="00DF6023" w:rsidRDefault="00B11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hAnsi="Helvetica Neue" w:cs="Helvetica Neue"/>
          <w:color w:val="000000"/>
          <w:sz w:val="24"/>
          <w:szCs w:val="24"/>
        </w:rPr>
      </w:pPr>
    </w:p>
    <w:p w14:paraId="2807FE55" w14:textId="369B0155" w:rsidR="00B1160D" w:rsidRPr="00DF6023" w:rsidRDefault="001C22BD">
      <w:pPr>
        <w:ind w:left="0" w:hanging="2"/>
        <w:jc w:val="both"/>
        <w:rPr>
          <w:sz w:val="22"/>
          <w:szCs w:val="22"/>
          <w:lang w:val="es-CL"/>
        </w:rPr>
      </w:pPr>
      <w:r w:rsidRPr="00DF6023">
        <w:rPr>
          <w:sz w:val="22"/>
          <w:szCs w:val="22"/>
          <w:lang w:val="es-CL"/>
        </w:rPr>
        <w:t xml:space="preserve">El bombardeo de rayos cósmicos provoca daños en las superficies de los materiales aeroespaciales y alteran el funcionamiento de sus dispositivos </w:t>
      </w:r>
      <w:r w:rsidR="00DF6023" w:rsidRPr="00DF6023">
        <w:rPr>
          <w:sz w:val="22"/>
          <w:szCs w:val="22"/>
          <w:lang w:val="es-CL"/>
        </w:rPr>
        <w:t>electrónicos (</w:t>
      </w:r>
      <w:r w:rsidRPr="00DF6023">
        <w:rPr>
          <w:sz w:val="22"/>
          <w:szCs w:val="22"/>
          <w:lang w:val="es-CL"/>
        </w:rPr>
        <w:t xml:space="preserve">1). </w:t>
      </w:r>
      <w:r w:rsidR="002B0EE5" w:rsidRPr="002B0EE5">
        <w:rPr>
          <w:sz w:val="22"/>
          <w:szCs w:val="22"/>
          <w:lang w:val="es-CL"/>
        </w:rPr>
        <w:t xml:space="preserve">Un enfoque emergente que aborda este problema consiste en obtener nuevos materiales poliméricos multifuncionales que se puedan usar como recubrimientos protectores. Estos recubrimientos consisten en </w:t>
      </w:r>
      <w:proofErr w:type="spellStart"/>
      <w:r w:rsidR="002B0EE5" w:rsidRPr="002B0EE5">
        <w:rPr>
          <w:sz w:val="22"/>
          <w:szCs w:val="22"/>
          <w:lang w:val="es-CL"/>
        </w:rPr>
        <w:t>compositos</w:t>
      </w:r>
      <w:proofErr w:type="spellEnd"/>
      <w:r w:rsidR="002B0EE5" w:rsidRPr="002B0EE5">
        <w:rPr>
          <w:sz w:val="22"/>
          <w:szCs w:val="22"/>
          <w:lang w:val="es-CL"/>
        </w:rPr>
        <w:t xml:space="preserve"> híbridos, es decir, materiales compuestos que contienen dos o más rellenos dispersos en una matriz polimérica</w:t>
      </w:r>
      <w:r w:rsidRPr="00DF6023">
        <w:rPr>
          <w:sz w:val="22"/>
          <w:szCs w:val="22"/>
          <w:lang w:val="es-CL"/>
        </w:rPr>
        <w:t xml:space="preserve"> (</w:t>
      </w:r>
      <w:r w:rsidR="00011D6B" w:rsidRPr="00DF6023">
        <w:rPr>
          <w:sz w:val="22"/>
          <w:szCs w:val="22"/>
          <w:lang w:val="es-CL"/>
        </w:rPr>
        <w:t>1</w:t>
      </w:r>
      <w:r w:rsidRPr="00DF6023">
        <w:rPr>
          <w:sz w:val="22"/>
          <w:szCs w:val="22"/>
          <w:lang w:val="es-CL"/>
        </w:rPr>
        <w:t xml:space="preserve">). El objetivo de este trabajo es preparar y caracterizar </w:t>
      </w:r>
      <w:proofErr w:type="spellStart"/>
      <w:r w:rsidR="00DF6023" w:rsidRPr="00DF6023">
        <w:rPr>
          <w:sz w:val="22"/>
          <w:szCs w:val="22"/>
          <w:lang w:val="es-CL"/>
        </w:rPr>
        <w:t>compositos</w:t>
      </w:r>
      <w:proofErr w:type="spellEnd"/>
      <w:r w:rsidRPr="00DF6023">
        <w:rPr>
          <w:sz w:val="22"/>
          <w:szCs w:val="22"/>
          <w:lang w:val="es-CL"/>
        </w:rPr>
        <w:t xml:space="preserve"> híbridos de policarbonato (PC), nanoplaquetas de grafeno (G) y </w:t>
      </w:r>
      <w:r w:rsidR="00D26072">
        <w:rPr>
          <w:sz w:val="22"/>
          <w:szCs w:val="22"/>
          <w:lang w:val="es-CL"/>
        </w:rPr>
        <w:t>ó</w:t>
      </w:r>
      <w:r w:rsidRPr="00DF6023">
        <w:rPr>
          <w:sz w:val="22"/>
          <w:szCs w:val="22"/>
          <w:lang w:val="es-CL"/>
        </w:rPr>
        <w:t>xido de bismuto (B) con propiedades eléctricas, mecánicas y térmicas mejoradas, y capaces de atenuar los rayos cósmicos.</w:t>
      </w:r>
    </w:p>
    <w:p w14:paraId="55B4D36D" w14:textId="04950DBB" w:rsidR="00B1160D" w:rsidRPr="00011D6B" w:rsidRDefault="001C22BD">
      <w:pPr>
        <w:ind w:left="0" w:hanging="2"/>
        <w:jc w:val="both"/>
        <w:rPr>
          <w:sz w:val="22"/>
          <w:szCs w:val="22"/>
          <w:lang w:val="es-CL"/>
        </w:rPr>
      </w:pPr>
      <w:r w:rsidRPr="00DF6023">
        <w:rPr>
          <w:sz w:val="22"/>
          <w:szCs w:val="22"/>
          <w:lang w:val="es-CL"/>
        </w:rPr>
        <w:t>Los resultados han mostrado aumento en la temperatura máxima de degradación</w:t>
      </w:r>
      <w:r w:rsidR="00D26072">
        <w:rPr>
          <w:sz w:val="22"/>
          <w:szCs w:val="22"/>
          <w:lang w:val="es-CL"/>
        </w:rPr>
        <w:t xml:space="preserve"> </w:t>
      </w:r>
      <w:bookmarkStart w:id="0" w:name="_GoBack"/>
      <w:bookmarkEnd w:id="0"/>
      <w:r w:rsidR="00D26072">
        <w:rPr>
          <w:sz w:val="22"/>
          <w:szCs w:val="22"/>
          <w:lang w:val="es-CL"/>
        </w:rPr>
        <w:t xml:space="preserve">de los </w:t>
      </w:r>
      <w:proofErr w:type="spellStart"/>
      <w:r w:rsidR="00D26072">
        <w:rPr>
          <w:sz w:val="22"/>
          <w:szCs w:val="22"/>
          <w:lang w:val="es-CL"/>
        </w:rPr>
        <w:t>compositos</w:t>
      </w:r>
      <w:proofErr w:type="spellEnd"/>
      <w:r w:rsidRPr="00DF6023">
        <w:rPr>
          <w:sz w:val="22"/>
          <w:szCs w:val="22"/>
          <w:lang w:val="es-CL"/>
        </w:rPr>
        <w:t xml:space="preserve"> en comparación al PC (Fig. 1A)</w:t>
      </w:r>
      <w:r w:rsidR="00D26072">
        <w:rPr>
          <w:sz w:val="22"/>
          <w:szCs w:val="22"/>
          <w:lang w:val="es-CL"/>
        </w:rPr>
        <w:t>. E</w:t>
      </w:r>
      <w:r w:rsidRPr="00DF6023">
        <w:rPr>
          <w:sz w:val="22"/>
          <w:szCs w:val="22"/>
          <w:lang w:val="es-CL"/>
        </w:rPr>
        <w:t xml:space="preserve">n tanto, se han obtenido </w:t>
      </w:r>
      <w:proofErr w:type="spellStart"/>
      <w:r w:rsidR="00DF6023" w:rsidRPr="00DF6023">
        <w:rPr>
          <w:sz w:val="22"/>
          <w:szCs w:val="22"/>
          <w:lang w:val="es-CL"/>
        </w:rPr>
        <w:t>compositos</w:t>
      </w:r>
      <w:proofErr w:type="spellEnd"/>
      <w:r w:rsidRPr="00DF6023">
        <w:rPr>
          <w:sz w:val="22"/>
          <w:szCs w:val="22"/>
          <w:lang w:val="es-CL"/>
        </w:rPr>
        <w:t xml:space="preserve"> híbridos con contenido de 3 % de G con conductividad eléctrica mejorada (Fig. 1B). La incorporación de G disminuyó el esfuerzo de tracción de los </w:t>
      </w:r>
      <w:proofErr w:type="spellStart"/>
      <w:r w:rsidR="00DF6023" w:rsidRPr="00DF6023">
        <w:rPr>
          <w:sz w:val="22"/>
          <w:szCs w:val="22"/>
          <w:lang w:val="es-CL"/>
        </w:rPr>
        <w:t>compositos</w:t>
      </w:r>
      <w:proofErr w:type="spellEnd"/>
      <w:r w:rsidRPr="00DF6023">
        <w:rPr>
          <w:sz w:val="22"/>
          <w:szCs w:val="22"/>
          <w:lang w:val="es-CL"/>
        </w:rPr>
        <w:t xml:space="preserve"> híbridos, pero un </w:t>
      </w:r>
      <w:proofErr w:type="spellStart"/>
      <w:r w:rsidR="00DF6023" w:rsidRPr="00DF6023">
        <w:rPr>
          <w:sz w:val="22"/>
          <w:szCs w:val="22"/>
          <w:lang w:val="es-CL"/>
        </w:rPr>
        <w:t>composito</w:t>
      </w:r>
      <w:proofErr w:type="spellEnd"/>
      <w:r w:rsidRPr="00DF6023">
        <w:rPr>
          <w:sz w:val="22"/>
          <w:szCs w:val="22"/>
          <w:lang w:val="es-CL"/>
        </w:rPr>
        <w:t xml:space="preserve"> con 10% B / 1% G presentó un esfuerzo de tracción similar al PC . La técnica de espectroscopia Raman mostró una dispersión homogénea de B y G en la matriz de PC. La determinación de la capacidad de blindaje de los compósitos híbridos contra protones y electrones está en estudio preliminares. De acuerdo a los resultados obtenidos se puede indicar que este </w:t>
      </w:r>
      <w:proofErr w:type="spellStart"/>
      <w:r w:rsidRPr="00DF6023">
        <w:rPr>
          <w:sz w:val="22"/>
          <w:szCs w:val="22"/>
          <w:lang w:val="es-CL"/>
        </w:rPr>
        <w:t>compositos</w:t>
      </w:r>
      <w:proofErr w:type="spellEnd"/>
      <w:r w:rsidRPr="00DF6023">
        <w:rPr>
          <w:sz w:val="22"/>
          <w:szCs w:val="22"/>
          <w:lang w:val="es-CL"/>
        </w:rPr>
        <w:t xml:space="preserve"> híbridos presentan propiedades mejoradas en lo que respecta a propiedades térmicas y mecánicas, las que son dependientes de composición de B y G.</w:t>
      </w:r>
    </w:p>
    <w:p w14:paraId="151FE08E" w14:textId="77777777" w:rsidR="00B1160D" w:rsidRPr="00011D6B" w:rsidRDefault="00B1160D">
      <w:pPr>
        <w:ind w:left="0" w:hanging="2"/>
        <w:jc w:val="both"/>
        <w:rPr>
          <w:sz w:val="22"/>
          <w:szCs w:val="22"/>
          <w:lang w:val="es-CL"/>
        </w:rPr>
      </w:pPr>
    </w:p>
    <w:p w14:paraId="02F666E8" w14:textId="77777777" w:rsidR="00B1160D" w:rsidRDefault="001C22BD">
      <w:pPr>
        <w:ind w:left="0" w:hanging="2"/>
        <w:jc w:val="both"/>
        <w:rPr>
          <w:sz w:val="22"/>
          <w:szCs w:val="22"/>
        </w:rPr>
      </w:pPr>
      <w:r w:rsidRPr="00011D6B">
        <w:rPr>
          <w:lang w:val="es-CL"/>
        </w:rPr>
        <w:t xml:space="preserve">                           </w:t>
      </w:r>
      <w:r>
        <w:rPr>
          <w:noProof/>
          <w:lang w:val="es-CL" w:eastAsia="es-CL"/>
        </w:rPr>
        <w:drawing>
          <wp:inline distT="0" distB="0" distL="114300" distR="114300" wp14:anchorId="7CCE95D9" wp14:editId="17A1F75C">
            <wp:extent cx="1572272" cy="1100590"/>
            <wp:effectExtent l="0" t="0" r="8890" b="4445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596" cy="1109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114300" distR="114300" wp14:anchorId="67B4EE05" wp14:editId="375E431C">
            <wp:extent cx="1539171" cy="1055077"/>
            <wp:effectExtent l="0" t="0" r="4445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656" cy="1065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6720D" w14:textId="77777777" w:rsidR="00B1160D" w:rsidRDefault="00B1160D">
      <w:pPr>
        <w:ind w:left="0" w:hanging="2"/>
        <w:jc w:val="both"/>
        <w:rPr>
          <w:u w:val="single"/>
        </w:rPr>
      </w:pPr>
    </w:p>
    <w:p w14:paraId="5AE2372A" w14:textId="0A706347" w:rsidR="00B1160D" w:rsidRPr="004A19D4" w:rsidRDefault="001C22BD">
      <w:pPr>
        <w:ind w:left="0" w:hanging="2"/>
        <w:jc w:val="center"/>
        <w:rPr>
          <w:sz w:val="16"/>
          <w:szCs w:val="16"/>
          <w:lang w:val="es-CL"/>
        </w:rPr>
      </w:pPr>
      <w:r w:rsidRPr="004A19D4">
        <w:rPr>
          <w:sz w:val="16"/>
          <w:szCs w:val="16"/>
          <w:lang w:val="es-CL"/>
        </w:rPr>
        <w:t>Figura 1. A</w:t>
      </w:r>
      <w:r w:rsidR="004A19D4">
        <w:rPr>
          <w:sz w:val="16"/>
          <w:szCs w:val="16"/>
          <w:lang w:val="es-CL"/>
        </w:rPr>
        <w:t>)</w:t>
      </w:r>
      <w:r w:rsidRPr="004A19D4">
        <w:rPr>
          <w:sz w:val="16"/>
          <w:szCs w:val="16"/>
          <w:lang w:val="es-CL"/>
        </w:rPr>
        <w:t xml:space="preserve"> Temperatura máxima de degradación (</w:t>
      </w:r>
      <w:proofErr w:type="spellStart"/>
      <w:r w:rsidRPr="004A19D4">
        <w:rPr>
          <w:sz w:val="16"/>
          <w:szCs w:val="16"/>
          <w:lang w:val="es-CL"/>
        </w:rPr>
        <w:t>T</w:t>
      </w:r>
      <w:r w:rsidRPr="004A19D4">
        <w:rPr>
          <w:sz w:val="16"/>
          <w:szCs w:val="16"/>
          <w:vertAlign w:val="subscript"/>
          <w:lang w:val="es-CL"/>
        </w:rPr>
        <w:t>max</w:t>
      </w:r>
      <w:proofErr w:type="spellEnd"/>
      <w:r w:rsidRPr="004A19D4">
        <w:rPr>
          <w:sz w:val="16"/>
          <w:szCs w:val="16"/>
          <w:lang w:val="es-CL"/>
        </w:rPr>
        <w:t>)</w:t>
      </w:r>
      <w:r w:rsidR="004A19D4">
        <w:rPr>
          <w:sz w:val="16"/>
          <w:szCs w:val="16"/>
          <w:lang w:val="es-CL"/>
        </w:rPr>
        <w:t xml:space="preserve"> </w:t>
      </w:r>
      <w:proofErr w:type="gramStart"/>
      <w:r w:rsidR="004A19D4">
        <w:rPr>
          <w:sz w:val="16"/>
          <w:szCs w:val="16"/>
          <w:lang w:val="es-CL"/>
        </w:rPr>
        <w:t>y</w:t>
      </w:r>
      <w:r w:rsidRPr="004A19D4">
        <w:rPr>
          <w:sz w:val="16"/>
          <w:szCs w:val="16"/>
          <w:lang w:val="es-CL"/>
        </w:rPr>
        <w:t xml:space="preserve">  B</w:t>
      </w:r>
      <w:proofErr w:type="gramEnd"/>
      <w:r w:rsidR="004A19D4">
        <w:rPr>
          <w:sz w:val="16"/>
          <w:szCs w:val="16"/>
          <w:lang w:val="es-CL"/>
        </w:rPr>
        <w:t>)</w:t>
      </w:r>
      <w:r w:rsidRPr="004A19D4">
        <w:rPr>
          <w:sz w:val="16"/>
          <w:szCs w:val="16"/>
          <w:lang w:val="es-CL"/>
        </w:rPr>
        <w:t xml:space="preserve"> Conductividad eléctrica de los </w:t>
      </w:r>
      <w:proofErr w:type="spellStart"/>
      <w:r w:rsidR="00487C0D" w:rsidRPr="004A19D4">
        <w:rPr>
          <w:sz w:val="16"/>
          <w:szCs w:val="16"/>
          <w:lang w:val="es-CL"/>
        </w:rPr>
        <w:t>compositos</w:t>
      </w:r>
      <w:proofErr w:type="spellEnd"/>
      <w:r w:rsidRPr="004A19D4">
        <w:rPr>
          <w:sz w:val="16"/>
          <w:szCs w:val="16"/>
          <w:lang w:val="es-CL"/>
        </w:rPr>
        <w:t xml:space="preserve"> </w:t>
      </w:r>
      <w:r w:rsidR="004A19D4">
        <w:rPr>
          <w:sz w:val="16"/>
          <w:szCs w:val="16"/>
          <w:lang w:val="es-CL"/>
        </w:rPr>
        <w:t>híbridos</w:t>
      </w:r>
    </w:p>
    <w:p w14:paraId="1A46B724" w14:textId="77777777" w:rsidR="004A19D4" w:rsidRDefault="004A19D4">
      <w:pPr>
        <w:ind w:left="0" w:hanging="2"/>
        <w:jc w:val="center"/>
        <w:rPr>
          <w:lang w:val="es-CL"/>
        </w:rPr>
      </w:pPr>
    </w:p>
    <w:p w14:paraId="29AAD2ED" w14:textId="77777777" w:rsidR="004B3B57" w:rsidRDefault="004B3B57" w:rsidP="004A19D4">
      <w:pPr>
        <w:ind w:left="0" w:hanging="2"/>
        <w:rPr>
          <w:lang w:val="es-CL"/>
        </w:rPr>
      </w:pPr>
    </w:p>
    <w:p w14:paraId="5A6BC7EB" w14:textId="38688629" w:rsidR="00011D6B" w:rsidRPr="00011D6B" w:rsidRDefault="00011D6B" w:rsidP="004A19D4">
      <w:pPr>
        <w:ind w:left="0" w:hanging="2"/>
        <w:rPr>
          <w:lang w:val="es-CL"/>
        </w:rPr>
      </w:pPr>
      <w:r>
        <w:rPr>
          <w:lang w:val="es-CL"/>
        </w:rPr>
        <w:t>Agradecimientos</w:t>
      </w:r>
      <w:r w:rsidR="004A19D4">
        <w:rPr>
          <w:lang w:val="es-CL"/>
        </w:rPr>
        <w:t>: Beca de Doctorado Nacional</w:t>
      </w:r>
      <w:r w:rsidR="00487C0D">
        <w:rPr>
          <w:lang w:val="es-CL"/>
        </w:rPr>
        <w:t xml:space="preserve"> </w:t>
      </w:r>
      <w:r w:rsidR="008D5965">
        <w:rPr>
          <w:lang w:val="es-CL"/>
        </w:rPr>
        <w:t xml:space="preserve">N° </w:t>
      </w:r>
      <w:r w:rsidR="006860CB">
        <w:rPr>
          <w:lang w:val="es-CL"/>
        </w:rPr>
        <w:t xml:space="preserve">21222111 y </w:t>
      </w:r>
      <w:r w:rsidR="004A19D4">
        <w:rPr>
          <w:lang w:val="es-CL"/>
        </w:rPr>
        <w:t xml:space="preserve">P.FONDECYT </w:t>
      </w:r>
      <w:r w:rsidR="00393EDF">
        <w:rPr>
          <w:lang w:val="es-CL"/>
        </w:rPr>
        <w:t>N°</w:t>
      </w:r>
      <w:r w:rsidR="004A19D4">
        <w:rPr>
          <w:lang w:val="es-CL"/>
        </w:rPr>
        <w:t>1231631.</w:t>
      </w:r>
      <w:r>
        <w:rPr>
          <w:lang w:val="es-CL"/>
        </w:rPr>
        <w:t xml:space="preserve">   </w:t>
      </w:r>
    </w:p>
    <w:p w14:paraId="2ECF7B5C" w14:textId="77777777" w:rsidR="00B1160D" w:rsidRDefault="001C22BD" w:rsidP="004B3B57">
      <w:pPr>
        <w:ind w:leftChars="0" w:left="0" w:firstLineChars="0" w:firstLine="0"/>
      </w:pPr>
      <w:proofErr w:type="spellStart"/>
      <w:r>
        <w:t>Referencias</w:t>
      </w:r>
      <w:proofErr w:type="spellEnd"/>
      <w:r>
        <w:t>:</w:t>
      </w:r>
    </w:p>
    <w:p w14:paraId="68BC4A77" w14:textId="14300C4E" w:rsidR="00B1160D" w:rsidRDefault="001C22BD">
      <w:pPr>
        <w:ind w:left="0" w:hanging="2"/>
      </w:pPr>
      <w:r>
        <w:t xml:space="preserve"> [</w:t>
      </w:r>
      <w:r w:rsidR="00011D6B">
        <w:t>1</w:t>
      </w:r>
      <w:r>
        <w:t>]A. Kondyurin. Design and Fabrication of Large Polymer Constructions in Space. Elsevier. (2023)</w:t>
      </w:r>
    </w:p>
    <w:sectPr w:rsidR="00B116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4" w:right="1134" w:bottom="1134" w:left="1701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10D90" w14:textId="77777777" w:rsidR="00542DE3" w:rsidRDefault="00542DE3">
      <w:pPr>
        <w:spacing w:line="240" w:lineRule="auto"/>
        <w:ind w:left="0" w:hanging="2"/>
      </w:pPr>
      <w:r>
        <w:separator/>
      </w:r>
    </w:p>
  </w:endnote>
  <w:endnote w:type="continuationSeparator" w:id="0">
    <w:p w14:paraId="1E39194C" w14:textId="77777777" w:rsidR="00542DE3" w:rsidRDefault="00542DE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Times New Roman"/>
    <w:charset w:val="00"/>
    <w:family w:val="auto"/>
    <w:pitch w:val="default"/>
    <w:embedRegular r:id="rId1" w:fontKey="{A42E8D31-760C-44A0-8FD4-83DA9F3697BF}"/>
    <w:embedBold r:id="rId2" w:fontKey="{8C1B66B1-D2AC-4266-A77F-BAEED82AE67D}"/>
    <w:embedItalic r:id="rId3" w:fontKey="{77443948-4D58-449E-A687-07E4A296A46E}"/>
    <w:embedBoldItalic r:id="rId4" w:fontKey="{E5DA80FA-5D7D-4D76-BD39-7A7D8CE6774A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6F95B3-8EFF-4A27-9912-EF2C4D3618CA}"/>
    <w:embedItalic r:id="rId6" w:fontKey="{B9F9B947-5AAE-4EA6-9215-4F6931E1115C}"/>
  </w:font>
  <w:font w:name="Droid Sans Fallback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5C83822-A1DA-40C3-A5C6-78B2F2DA4A62}"/>
    <w:embedItalic r:id="rId8" w:fontKey="{29B5AA37-84D0-41DC-9BDF-B2AA102F431F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9E545A3-4BD6-4B1B-B631-6387FEE430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3C0B502-4E7D-4D73-927E-F52F7ED60D23}"/>
    <w:embedItalic r:id="rId11" w:fontKey="{3074C8E5-B33F-46B6-AA16-7550625298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98F6B4A-7B26-4F0D-9553-8750577E94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994CC" w14:textId="77777777" w:rsidR="00B1160D" w:rsidRDefault="00B116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CD5AD" w14:textId="77777777" w:rsidR="00B1160D" w:rsidRDefault="00B116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935D6" w14:textId="77777777" w:rsidR="00B1160D" w:rsidRDefault="00B116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5096B" w14:textId="77777777" w:rsidR="00542DE3" w:rsidRDefault="00542DE3">
      <w:pPr>
        <w:spacing w:line="240" w:lineRule="auto"/>
        <w:ind w:left="0" w:hanging="2"/>
      </w:pPr>
      <w:r>
        <w:separator/>
      </w:r>
    </w:p>
  </w:footnote>
  <w:footnote w:type="continuationSeparator" w:id="0">
    <w:p w14:paraId="2D266D27" w14:textId="77777777" w:rsidR="00542DE3" w:rsidRDefault="00542DE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088D5" w14:textId="77777777" w:rsidR="00B1160D" w:rsidRDefault="00B116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30C6E" w14:textId="77777777" w:rsidR="00B1160D" w:rsidRDefault="001C22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noProof/>
        <w:lang w:val="es-CL" w:eastAsia="es-CL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59B846C3" wp14:editId="0D7F7D9C">
              <wp:simplePos x="0" y="0"/>
              <wp:positionH relativeFrom="column">
                <wp:posOffset>7023100</wp:posOffset>
              </wp:positionH>
              <wp:positionV relativeFrom="paragraph">
                <wp:posOffset>0</wp:posOffset>
              </wp:positionV>
              <wp:extent cx="27305" cy="146050"/>
              <wp:effectExtent l="0" t="0" r="0" b="0"/>
              <wp:wrapSquare wrapText="bothSides" distT="0" distB="0" distL="0" distR="0"/>
              <wp:docPr id="1027" name="Rectángulo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110" y="3711738"/>
                        <a:ext cx="17780" cy="136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63D6AF" w14:textId="77777777" w:rsidR="00B1160D" w:rsidRDefault="00B1160D">
                          <w:pPr>
                            <w:spacing w:line="240" w:lineRule="auto"/>
                            <w:ind w:left="0" w:hanging="2"/>
                          </w:pPr>
                        </w:p>
                        <w:p w14:paraId="1F2FE0A0" w14:textId="77777777" w:rsidR="00B1160D" w:rsidRDefault="00B1160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7023100</wp:posOffset>
              </wp:positionH>
              <wp:positionV relativeFrom="paragraph">
                <wp:posOffset>0</wp:posOffset>
              </wp:positionV>
              <wp:extent cx="27305" cy="146050"/>
              <wp:effectExtent b="0" l="0" r="0" t="0"/>
              <wp:wrapSquare wrapText="bothSides" distB="0" distT="0" distL="0" distR="0"/>
              <wp:docPr id="10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05" cy="146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hidden="0" allowOverlap="1" wp14:anchorId="6F028A2F" wp14:editId="4F7C15F9">
          <wp:simplePos x="0" y="0"/>
          <wp:positionH relativeFrom="column">
            <wp:posOffset>-1080134</wp:posOffset>
          </wp:positionH>
          <wp:positionV relativeFrom="paragraph">
            <wp:posOffset>-180339</wp:posOffset>
          </wp:positionV>
          <wp:extent cx="7813675" cy="1379220"/>
          <wp:effectExtent l="0" t="0" r="0" b="0"/>
          <wp:wrapSquare wrapText="bothSides" distT="0" distB="0" distL="114300" distR="114300"/>
          <wp:docPr id="103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3675" cy="1379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A0ABA9" w14:textId="77777777" w:rsidR="00B1160D" w:rsidRDefault="001C22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2B8CE" w14:textId="77777777" w:rsidR="00B1160D" w:rsidRDefault="00B1160D">
    <w:pPr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5906"/>
    <w:multiLevelType w:val="multilevel"/>
    <w:tmpl w:val="17626AAC"/>
    <w:lvl w:ilvl="0">
      <w:start w:val="1"/>
      <w:numFmt w:val="decimal"/>
      <w:pStyle w:val="Ttulo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0D"/>
    <w:rsid w:val="00011D6B"/>
    <w:rsid w:val="000E79B8"/>
    <w:rsid w:val="001C22BD"/>
    <w:rsid w:val="002023A9"/>
    <w:rsid w:val="002B0EE5"/>
    <w:rsid w:val="00393EDF"/>
    <w:rsid w:val="003B4272"/>
    <w:rsid w:val="00487C0D"/>
    <w:rsid w:val="004A19D4"/>
    <w:rsid w:val="004B3B57"/>
    <w:rsid w:val="00542DE3"/>
    <w:rsid w:val="005E17F7"/>
    <w:rsid w:val="006860CB"/>
    <w:rsid w:val="008D5965"/>
    <w:rsid w:val="00B1160D"/>
    <w:rsid w:val="00C35F49"/>
    <w:rsid w:val="00C74267"/>
    <w:rsid w:val="00CF7E81"/>
    <w:rsid w:val="00D26072"/>
    <w:rsid w:val="00DF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8DBA4C"/>
  <w15:docId w15:val="{EFDF7C77-7FA8-44A1-BA2E-0BC1FFCE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="Helvetica Neue" w:hAnsi="Helvetica Neue" w:cs="Helvetica Neue"/>
        <w:lang w:val="en-US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hAnsi="Helvetica" w:cs="Helvetica"/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numId w:val="2"/>
      </w:numPr>
      <w:ind w:left="-1" w:hanging="1"/>
      <w:outlineLvl w:val="3"/>
    </w:pPr>
    <w:rPr>
      <w:rFonts w:ascii="Arial" w:hAnsi="Arial" w:cs="Arial"/>
      <w:b/>
      <w:bCs/>
      <w:lang w:val="ro-RO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Times New Roman" w:hAnsi="Times New Roman" w:cs="Times New Roman"/>
      <w:b w:val="0"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final">
    <w:name w:val="Caracteres de nota final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alpie">
    <w:name w:val="Caracteres de nota al pi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atLeast"/>
      <w:ind w:left="0"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left="0" w:right="3024" w:firstLine="0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left="0" w:right="3024" w:firstLine="0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atLeast"/>
      <w:ind w:left="0" w:right="3024" w:firstLine="0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pacing w:after="120" w:line="240" w:lineRule="atLeast"/>
      <w:ind w:leftChars="-1" w:left="-1" w:right="3024" w:hangingChars="1" w:hanging="1"/>
      <w:textDirection w:val="btLr"/>
      <w:textAlignment w:val="top"/>
      <w:outlineLvl w:val="0"/>
    </w:pPr>
    <w:rPr>
      <w:rFonts w:ascii="Times" w:hAnsi="Times" w:cs="Times"/>
      <w:i/>
      <w:position w:val="-1"/>
      <w:lang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atLeast"/>
      <w:ind w:left="0" w:right="3024" w:firstLine="0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pacing w:before="200" w:after="200" w:line="22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hAnsi="Helvetica" w:cs="Helvetica"/>
      <w:b/>
      <w:position w:val="-1"/>
      <w:sz w:val="18"/>
      <w:lang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 w:firstLine="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atLeast"/>
      <w:ind w:left="0"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atLeas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atLeas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atLeas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pacing w:before="240" w:after="300" w:line="20" w:lineRule="atLeast"/>
      <w:ind w:leftChars="-1" w:left="-1" w:hangingChars="1" w:hanging="1"/>
      <w:textDirection w:val="btLr"/>
      <w:textAlignment w:val="top"/>
      <w:outlineLvl w:val="0"/>
    </w:pPr>
    <w:rPr>
      <w:rFonts w:ascii="New York" w:hAnsi="New York" w:cs="New York"/>
      <w:position w:val="-1"/>
      <w:lang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atLeast"/>
      <w:ind w:left="0"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atLeas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atLeast"/>
      <w:ind w:left="0"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pPr>
      <w:spacing w:before="280" w:after="280"/>
    </w:pPr>
    <w:rPr>
      <w:lang w:val="pl-PL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character" w:customStyle="1" w:styleId="EndNoteBibliographyTitleCar">
    <w:name w:val="EndNote Bibliography Title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customStyle="1" w:styleId="EndNoteBibliography">
    <w:name w:val="EndNote Bibliography"/>
    <w:basedOn w:val="Normal"/>
    <w:pPr>
      <w:jc w:val="both"/>
    </w:pPr>
  </w:style>
  <w:style w:type="character" w:customStyle="1" w:styleId="EndNoteBibliographyCar">
    <w:name w:val="EndNote Bibliography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urzua@uchile.cl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haguilar@udec.c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RggF4+VNaJqU3ZZyghBSOh9qYQ==">CgMxLjA4AHIhMVRRbjF1MHRQLXZXM01ERDNQcTVhOS1jYTAxMXJ0U2pf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1A0E03-FEE9-4A2B-BBF8-8C0490D22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Lisboa Monteiro - IQ - UFRGS</dc:creator>
  <cp:lastModifiedBy>HP</cp:lastModifiedBy>
  <cp:revision>2</cp:revision>
  <dcterms:created xsi:type="dcterms:W3CDTF">2024-10-01T20:33:00Z</dcterms:created>
  <dcterms:modified xsi:type="dcterms:W3CDTF">2024-10-01T20:33:00Z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09c106ed021d8b317f49ed760a7f33a4075d611c71c5c124afe12b82b4e16109</vt:lpwstr>
  </property>
</Properties>
</file>