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BE8AF01" w14:textId="0803B4C2" w:rsidR="005B65CF" w:rsidRPr="0069405B" w:rsidRDefault="005B65CF" w:rsidP="00A30FBE">
      <w:pPr>
        <w:jc w:val="center"/>
        <w:rPr>
          <w:rFonts w:cs="Times New Roman"/>
          <w:b/>
          <w:bCs/>
          <w:sz w:val="24"/>
          <w:szCs w:val="24"/>
          <w:lang w:val="ro-RO"/>
        </w:rPr>
      </w:pPr>
      <w:r>
        <w:rPr>
          <w:rFonts w:cs="Times New Roman"/>
          <w:b/>
          <w:bCs/>
          <w:sz w:val="24"/>
          <w:szCs w:val="24"/>
          <w:lang w:val="ro-RO"/>
        </w:rPr>
        <w:t>Poly</w:t>
      </w:r>
      <w:r w:rsidRPr="003A7F34">
        <w:rPr>
          <w:rFonts w:cs="Times New Roman"/>
          <w:b/>
          <w:bCs/>
          <w:sz w:val="24"/>
          <w:szCs w:val="24"/>
          <w:lang w:val="ro-RO"/>
        </w:rPr>
        <w:t>(3-hydroxy</w:t>
      </w:r>
      <w:r>
        <w:rPr>
          <w:rFonts w:cs="Times New Roman"/>
          <w:b/>
          <w:bCs/>
          <w:sz w:val="24"/>
          <w:szCs w:val="24"/>
          <w:lang w:val="ro-RO"/>
        </w:rPr>
        <w:t>butyrate-</w:t>
      </w:r>
      <w:r w:rsidRPr="00086C73">
        <w:rPr>
          <w:rFonts w:cs="Times New Roman"/>
          <w:b/>
          <w:bCs/>
          <w:i/>
          <w:iCs/>
          <w:sz w:val="24"/>
          <w:szCs w:val="24"/>
          <w:lang w:val="ro-RO"/>
        </w:rPr>
        <w:t>co</w:t>
      </w:r>
      <w:r>
        <w:rPr>
          <w:rFonts w:cs="Times New Roman"/>
          <w:b/>
          <w:bCs/>
          <w:sz w:val="24"/>
          <w:szCs w:val="24"/>
          <w:lang w:val="ro-RO"/>
        </w:rPr>
        <w:t xml:space="preserve">-3-hydroxyvalerate) produced by </w:t>
      </w:r>
      <w:r w:rsidRPr="003A7F34">
        <w:rPr>
          <w:rFonts w:cs="Times New Roman"/>
          <w:b/>
          <w:bCs/>
          <w:i/>
          <w:sz w:val="24"/>
          <w:szCs w:val="24"/>
          <w:lang w:val="ro-RO"/>
        </w:rPr>
        <w:t>Azotobacter</w:t>
      </w:r>
      <w:r>
        <w:rPr>
          <w:rFonts w:cs="Times New Roman"/>
          <w:b/>
          <w:bCs/>
          <w:i/>
          <w:sz w:val="24"/>
          <w:szCs w:val="24"/>
          <w:lang w:val="ro-RO"/>
        </w:rPr>
        <w:t xml:space="preserve"> </w:t>
      </w:r>
      <w:r w:rsidRPr="003A7F34">
        <w:rPr>
          <w:rFonts w:cs="Times New Roman"/>
          <w:b/>
          <w:bCs/>
          <w:i/>
          <w:sz w:val="24"/>
          <w:szCs w:val="24"/>
          <w:lang w:val="ro-RO"/>
        </w:rPr>
        <w:t>vinelandii</w:t>
      </w:r>
      <w:r>
        <w:rPr>
          <w:rFonts w:cs="Times New Roman"/>
          <w:b/>
          <w:bCs/>
          <w:sz w:val="24"/>
          <w:szCs w:val="24"/>
          <w:lang w:val="ro-RO"/>
        </w:rPr>
        <w:t>: Synthesis and characterization.</w:t>
      </w:r>
    </w:p>
    <w:p w14:paraId="788E7767" w14:textId="77777777" w:rsidR="002176E8" w:rsidRPr="00DE5C4E" w:rsidRDefault="002176E8">
      <w:pPr>
        <w:jc w:val="center"/>
        <w:rPr>
          <w:sz w:val="28"/>
          <w:szCs w:val="28"/>
          <w:lang w:val="ro-RO"/>
        </w:rPr>
      </w:pPr>
    </w:p>
    <w:p w14:paraId="0C87938C" w14:textId="7C82895A" w:rsidR="005B65CF" w:rsidRPr="0069405B" w:rsidRDefault="005B65CF" w:rsidP="005B65CF">
      <w:pPr>
        <w:pStyle w:val="Textoindependiente"/>
        <w:jc w:val="center"/>
        <w:rPr>
          <w:rFonts w:cs="Times New Roman"/>
          <w:sz w:val="22"/>
          <w:szCs w:val="22"/>
          <w:lang w:val="ro-RO"/>
        </w:rPr>
      </w:pPr>
      <w:r>
        <w:rPr>
          <w:rFonts w:cs="Times New Roman"/>
          <w:sz w:val="22"/>
          <w:szCs w:val="22"/>
          <w:lang w:val="ro-RO"/>
        </w:rPr>
        <w:t>Viviana Urtuvia</w:t>
      </w:r>
      <w:r w:rsidRPr="0069405B">
        <w:rPr>
          <w:rFonts w:cs="Times New Roman"/>
          <w:sz w:val="22"/>
          <w:szCs w:val="22"/>
          <w:vertAlign w:val="superscript"/>
          <w:lang w:val="ro-RO"/>
        </w:rPr>
        <w:t>a</w:t>
      </w:r>
      <w:r w:rsidRPr="00FD0899">
        <w:rPr>
          <w:rFonts w:cs="Times New Roman"/>
          <w:color w:val="000000" w:themeColor="text1"/>
          <w:sz w:val="22"/>
          <w:szCs w:val="22"/>
          <w:lang w:val="ro-RO"/>
        </w:rPr>
        <w:t>, Andrés P</w:t>
      </w:r>
      <w:r w:rsidR="008F2078">
        <w:rPr>
          <w:rFonts w:cs="Times New Roman"/>
          <w:color w:val="000000" w:themeColor="text1"/>
          <w:sz w:val="22"/>
          <w:szCs w:val="22"/>
          <w:lang w:val="ro-RO"/>
        </w:rPr>
        <w:t>é</w:t>
      </w:r>
      <w:r w:rsidRPr="00FD0899">
        <w:rPr>
          <w:rFonts w:cs="Times New Roman"/>
          <w:color w:val="000000" w:themeColor="text1"/>
          <w:sz w:val="22"/>
          <w:szCs w:val="22"/>
          <w:lang w:val="ro-RO"/>
        </w:rPr>
        <w:t>rez</w:t>
      </w:r>
      <w:r w:rsidRPr="00FD0899">
        <w:rPr>
          <w:rFonts w:cs="Times New Roman"/>
          <w:color w:val="000000" w:themeColor="text1"/>
          <w:sz w:val="22"/>
          <w:szCs w:val="22"/>
          <w:vertAlign w:val="superscript"/>
          <w:lang w:val="ro-RO"/>
        </w:rPr>
        <w:t>a</w:t>
      </w:r>
      <w:r w:rsidRPr="00FD0899">
        <w:rPr>
          <w:rFonts w:cs="Times New Roman"/>
          <w:color w:val="000000" w:themeColor="text1"/>
          <w:sz w:val="22"/>
          <w:szCs w:val="22"/>
          <w:lang w:val="ro-RO"/>
        </w:rPr>
        <w:t xml:space="preserve">, </w:t>
      </w:r>
      <w:r>
        <w:rPr>
          <w:rFonts w:cs="Times New Roman"/>
          <w:sz w:val="22"/>
          <w:szCs w:val="22"/>
          <w:lang w:val="ro-RO"/>
        </w:rPr>
        <w:t>Alvaro Díaz-Barrera</w:t>
      </w:r>
      <w:r w:rsidRPr="00441E36">
        <w:rPr>
          <w:rFonts w:cs="Times New Roman"/>
          <w:sz w:val="22"/>
          <w:szCs w:val="22"/>
          <w:vertAlign w:val="superscript"/>
          <w:lang w:val="ro-RO"/>
        </w:rPr>
        <w:t>a</w:t>
      </w:r>
      <w:r>
        <w:rPr>
          <w:rFonts w:cs="Times New Roman"/>
          <w:sz w:val="22"/>
          <w:szCs w:val="22"/>
          <w:lang w:val="ro-RO"/>
        </w:rPr>
        <w:t>.</w:t>
      </w:r>
    </w:p>
    <w:p w14:paraId="48340F57" w14:textId="77777777" w:rsidR="00DE5C4E" w:rsidRPr="0069405B" w:rsidRDefault="00DE5C4E" w:rsidP="009C3A0B">
      <w:pPr>
        <w:pStyle w:val="Textoindependiente"/>
        <w:jc w:val="center"/>
        <w:rPr>
          <w:rFonts w:cs="Times New Roman"/>
          <w:sz w:val="22"/>
          <w:szCs w:val="22"/>
          <w:lang w:val="ro-RO"/>
        </w:rPr>
      </w:pPr>
    </w:p>
    <w:p w14:paraId="103D6043" w14:textId="77777777" w:rsidR="005B65CF" w:rsidRPr="0069405B" w:rsidRDefault="005B65CF" w:rsidP="005B65CF">
      <w:pPr>
        <w:pStyle w:val="Textoindependiente"/>
        <w:jc w:val="center"/>
        <w:rPr>
          <w:rFonts w:cs="Times New Roman"/>
          <w:sz w:val="22"/>
          <w:szCs w:val="22"/>
          <w:lang w:val="ro-RO"/>
        </w:rPr>
      </w:pPr>
      <w:r w:rsidRPr="0069405B">
        <w:rPr>
          <w:rFonts w:cs="Times New Roman"/>
          <w:sz w:val="22"/>
          <w:szCs w:val="22"/>
          <w:vertAlign w:val="superscript"/>
          <w:lang w:val="ro-RO"/>
        </w:rPr>
        <w:t>a</w:t>
      </w:r>
      <w:r w:rsidRPr="0069405B">
        <w:rPr>
          <w:rFonts w:cs="Times New Roman"/>
          <w:sz w:val="22"/>
          <w:szCs w:val="22"/>
          <w:lang w:val="ro-RO"/>
        </w:rPr>
        <w:t xml:space="preserve"> </w:t>
      </w:r>
      <w:r w:rsidRPr="00441E36">
        <w:rPr>
          <w:rFonts w:cs="Times New Roman"/>
          <w:i/>
          <w:sz w:val="22"/>
          <w:szCs w:val="22"/>
          <w:lang w:val="ro-RO"/>
        </w:rPr>
        <w:t>Pontificia</w:t>
      </w:r>
      <w:r>
        <w:rPr>
          <w:rFonts w:cs="Times New Roman"/>
          <w:i/>
          <w:sz w:val="22"/>
          <w:szCs w:val="22"/>
          <w:lang w:val="ro-RO"/>
        </w:rPr>
        <w:t xml:space="preserve"> Universidad Católica de Valparaíso, E</w:t>
      </w:r>
      <w:r w:rsidRPr="00441E36">
        <w:rPr>
          <w:rFonts w:cs="Times New Roman"/>
          <w:i/>
          <w:iCs/>
          <w:sz w:val="22"/>
          <w:szCs w:val="22"/>
          <w:lang w:val="ro-RO"/>
        </w:rPr>
        <w:t>sc</w:t>
      </w:r>
      <w:r>
        <w:rPr>
          <w:rFonts w:cs="Times New Roman"/>
          <w:i/>
          <w:iCs/>
          <w:sz w:val="22"/>
          <w:szCs w:val="22"/>
          <w:lang w:val="ro-RO"/>
        </w:rPr>
        <w:t>uela de Ingenieria Bioquímica, Avenida Brasil 2147 Casilla 4059, Valparaíso, Chile.</w:t>
      </w:r>
    </w:p>
    <w:p w14:paraId="1DA2B426" w14:textId="77777777" w:rsidR="005B65CF" w:rsidRPr="00DE5C4E" w:rsidRDefault="005B65CF" w:rsidP="005B65CF">
      <w:pPr>
        <w:pStyle w:val="Textoindependiente"/>
        <w:jc w:val="center"/>
        <w:rPr>
          <w:rFonts w:cs="Times New Roman"/>
          <w:i/>
          <w:iCs/>
          <w:sz w:val="24"/>
          <w:szCs w:val="24"/>
          <w:lang w:val="ro-RO"/>
        </w:rPr>
      </w:pPr>
      <w:r w:rsidRPr="0069405B">
        <w:rPr>
          <w:rFonts w:cs="Times New Roman"/>
          <w:i/>
          <w:iCs/>
          <w:sz w:val="22"/>
          <w:szCs w:val="22"/>
          <w:lang w:val="ro-RO"/>
        </w:rPr>
        <w:t xml:space="preserve">Email: </w:t>
      </w:r>
      <w:hyperlink r:id="rId7" w:history="1">
        <w:r w:rsidRPr="00A81299">
          <w:rPr>
            <w:rStyle w:val="Hipervnculo"/>
            <w:rFonts w:cs="Times New Roman"/>
            <w:i/>
            <w:iCs/>
            <w:sz w:val="22"/>
            <w:szCs w:val="22"/>
            <w:lang w:val="ro-RO"/>
          </w:rPr>
          <w:t>viviana.urtuvia@pucv.cl</w:t>
        </w:r>
      </w:hyperlink>
    </w:p>
    <w:p w14:paraId="05E5C610" w14:textId="77777777" w:rsidR="005A22A3" w:rsidRPr="00DE5C4E" w:rsidRDefault="005A22A3" w:rsidP="009C3A0B">
      <w:pPr>
        <w:pStyle w:val="Textoindependiente"/>
        <w:jc w:val="center"/>
        <w:rPr>
          <w:rFonts w:cs="Times New Roman"/>
          <w:i/>
          <w:iCs/>
          <w:sz w:val="24"/>
          <w:szCs w:val="24"/>
          <w:lang w:val="ro-RO"/>
        </w:rPr>
      </w:pPr>
    </w:p>
    <w:p w14:paraId="5AEC0663" w14:textId="0A383A63" w:rsidR="005B65CF" w:rsidRPr="00E2686F" w:rsidRDefault="005B65CF" w:rsidP="005B65CF">
      <w:pPr>
        <w:jc w:val="both"/>
        <w:rPr>
          <w:rFonts w:cs="Times New Roman"/>
          <w:bCs/>
          <w:sz w:val="22"/>
          <w:szCs w:val="22"/>
          <w:lang w:val="ro-RO" w:eastAsia="fr-FR"/>
        </w:rPr>
      </w:pPr>
      <w:r w:rsidRPr="00E2686F">
        <w:rPr>
          <w:rFonts w:cs="Times New Roman"/>
          <w:sz w:val="22"/>
          <w:szCs w:val="22"/>
          <w:lang w:val="ro-RO"/>
        </w:rPr>
        <w:t xml:space="preserve">Unlike traditional plastics derived from fossil fuels, biopolymers offer a more sustainable alternative, as they have similar thermomechanical characteristics. The growing potential of sustainable materials such as polyhydroxyalkanoates presents an opportunity to promote the circular economy </w:t>
      </w:r>
      <w:r w:rsidRPr="00E2686F">
        <w:rPr>
          <w:rFonts w:cs="Times New Roman"/>
          <w:bCs/>
          <w:sz w:val="22"/>
          <w:szCs w:val="22"/>
          <w:lang w:val="ro-RO" w:eastAsia="fr-FR"/>
        </w:rPr>
        <w:t>[1,2].</w:t>
      </w:r>
      <w:r w:rsidRPr="00E2686F">
        <w:rPr>
          <w:rFonts w:cs="Times New Roman"/>
          <w:sz w:val="22"/>
          <w:szCs w:val="22"/>
          <w:lang w:val="ro-RO"/>
        </w:rPr>
        <w:t xml:space="preserve"> Among them, poly(3-hydroxybutyrate-</w:t>
      </w:r>
      <w:r w:rsidRPr="00E2686F">
        <w:rPr>
          <w:rFonts w:cs="Times New Roman"/>
          <w:i/>
          <w:sz w:val="22"/>
          <w:szCs w:val="22"/>
          <w:lang w:val="ro-RO"/>
        </w:rPr>
        <w:t>co</w:t>
      </w:r>
      <w:r w:rsidRPr="00E2686F">
        <w:rPr>
          <w:rFonts w:cs="Times New Roman"/>
          <w:sz w:val="22"/>
          <w:szCs w:val="22"/>
          <w:lang w:val="ro-RO"/>
        </w:rPr>
        <w:t xml:space="preserve">-3-hydroxyvalerate) (PHBV) has attracted substantial attention as a promising material for different industrial applications 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[2]. The bacterium </w:t>
      </w:r>
      <w:r w:rsidRPr="00E2686F">
        <w:rPr>
          <w:rFonts w:cs="Times New Roman"/>
          <w:bCs/>
          <w:i/>
          <w:sz w:val="22"/>
          <w:szCs w:val="22"/>
          <w:lang w:val="ro-RO" w:eastAsia="fr-FR"/>
        </w:rPr>
        <w:t>Azotobacter vinelandii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 produce PHBV by the addition of valerate during cellular growth [3]. In cultures in a bioreactor, the molar composition of PHBV </w:t>
      </w:r>
      <w:r w:rsidR="000D7647">
        <w:rPr>
          <w:rFonts w:cs="Times New Roman"/>
          <w:bCs/>
          <w:sz w:val="22"/>
          <w:szCs w:val="22"/>
          <w:lang w:val="ro-RO" w:eastAsia="fr-FR"/>
        </w:rPr>
        <w:t>is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affected by agitation rate and modality of culture. In this study, </w:t>
      </w:r>
      <w:r w:rsidRPr="00E2686F">
        <w:rPr>
          <w:rFonts w:cs="Times New Roman"/>
          <w:sz w:val="22"/>
          <w:szCs w:val="22"/>
          <w:lang w:val="ro-RO"/>
        </w:rPr>
        <w:t>PHBV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production by </w:t>
      </w:r>
      <w:r w:rsidRPr="00E2686F">
        <w:rPr>
          <w:rFonts w:cs="Times New Roman"/>
          <w:bCs/>
          <w:i/>
          <w:sz w:val="22"/>
          <w:szCs w:val="22"/>
          <w:lang w:val="ro-RO" w:eastAsia="fr-FR"/>
        </w:rPr>
        <w:t>A. vinelandii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OP was evaluated </w:t>
      </w:r>
      <w:r w:rsidR="000D7647">
        <w:rPr>
          <w:rFonts w:cs="Times New Roman"/>
          <w:bCs/>
          <w:sz w:val="22"/>
          <w:szCs w:val="22"/>
          <w:lang w:val="ro-RO" w:eastAsia="fr-FR"/>
        </w:rPr>
        <w:t xml:space="preserve"> in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extended batch culture</w:t>
      </w:r>
      <w:r w:rsidR="000D7647">
        <w:rPr>
          <w:rFonts w:cs="Times New Roman"/>
          <w:bCs/>
          <w:sz w:val="22"/>
          <w:szCs w:val="22"/>
          <w:lang w:val="ro-RO" w:eastAsia="fr-FR"/>
        </w:rPr>
        <w:t>s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="000D7647">
        <w:rPr>
          <w:rFonts w:cs="Times New Roman"/>
          <w:bCs/>
          <w:sz w:val="22"/>
          <w:szCs w:val="22"/>
          <w:lang w:val="ro-RO" w:eastAsia="fr-FR"/>
        </w:rPr>
        <w:t>to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agitation rates </w:t>
      </w:r>
      <w:r w:rsidR="000D7647">
        <w:rPr>
          <w:rFonts w:cs="Times New Roman"/>
          <w:bCs/>
          <w:sz w:val="22"/>
          <w:szCs w:val="22"/>
          <w:lang w:val="ro-RO" w:eastAsia="fr-FR"/>
        </w:rPr>
        <w:t xml:space="preserve">of 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300 and 600 rpm. 3-hydroxyvalerate (3HV) fraction into the </w:t>
      </w:r>
      <w:r w:rsidRPr="00E2686F">
        <w:rPr>
          <w:rFonts w:cs="Times New Roman"/>
          <w:sz w:val="22"/>
          <w:szCs w:val="22"/>
          <w:lang w:val="ro-RO"/>
        </w:rPr>
        <w:t>PHBV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="000D7647">
        <w:rPr>
          <w:rFonts w:cs="Times New Roman"/>
          <w:bCs/>
          <w:sz w:val="22"/>
          <w:szCs w:val="22"/>
          <w:lang w:val="ro-RO" w:eastAsia="fr-FR"/>
        </w:rPr>
        <w:t>was measured using GC-MS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and PHBV yield from sucrose (Y</w:t>
      </w:r>
      <w:r w:rsidRPr="00E2686F">
        <w:rPr>
          <w:rFonts w:cs="Times New Roman"/>
          <w:bCs/>
          <w:sz w:val="22"/>
          <w:szCs w:val="22"/>
          <w:vertAlign w:val="subscript"/>
          <w:lang w:val="ro-RO" w:eastAsia="fr-FR"/>
        </w:rPr>
        <w:t>PHBV/S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) </w:t>
      </w:r>
      <w:r w:rsidR="000D7647">
        <w:rPr>
          <w:rFonts w:cs="Times New Roman"/>
          <w:bCs/>
          <w:sz w:val="22"/>
          <w:szCs w:val="22"/>
          <w:lang w:val="ro-RO" w:eastAsia="fr-FR"/>
        </w:rPr>
        <w:t>was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determined. </w:t>
      </w:r>
      <w:r w:rsidR="000D7647" w:rsidRPr="00086C73">
        <w:rPr>
          <w:rFonts w:cs="Times New Roman"/>
          <w:bCs/>
          <w:sz w:val="22"/>
          <w:szCs w:val="22"/>
          <w:lang w:val="ro-RO" w:eastAsia="fr-FR"/>
        </w:rPr>
        <w:t>S</w:t>
      </w:r>
      <w:r w:rsidRPr="00086C73">
        <w:rPr>
          <w:rFonts w:cs="Times New Roman"/>
          <w:bCs/>
          <w:sz w:val="22"/>
          <w:szCs w:val="22"/>
          <w:lang w:val="ro-RO" w:eastAsia="fr-FR"/>
        </w:rPr>
        <w:t>taining with Nile Red was performed to observe through fluorescence microscopy the production of PHBV.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="000D7647">
        <w:rPr>
          <w:rFonts w:cs="Times New Roman"/>
          <w:bCs/>
          <w:sz w:val="22"/>
          <w:szCs w:val="22"/>
          <w:lang w:val="ro-RO" w:eastAsia="fr-FR"/>
        </w:rPr>
        <w:t>The results indicate that u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nder the conditions evaluated, a similar PHBV content (up to 61 </w:t>
      </w:r>
      <w:r w:rsidRPr="00E2686F">
        <w:rPr>
          <w:bCs/>
          <w:sz w:val="22"/>
          <w:szCs w:val="22"/>
          <w:lang w:val="ro-RO" w:eastAsia="fr-FR"/>
        </w:rPr>
        <w:t xml:space="preserve">± </w:t>
      </w:r>
      <w:r w:rsidRPr="00E2686F">
        <w:rPr>
          <w:rFonts w:cs="Times New Roman"/>
          <w:bCs/>
          <w:sz w:val="22"/>
          <w:szCs w:val="22"/>
          <w:lang w:val="ro-RO" w:eastAsia="fr-FR"/>
        </w:rPr>
        <w:t>2 % w w</w:t>
      </w:r>
      <w:r w:rsidRPr="00E2686F">
        <w:rPr>
          <w:rFonts w:cs="Times New Roman"/>
          <w:bCs/>
          <w:sz w:val="22"/>
          <w:szCs w:val="22"/>
          <w:vertAlign w:val="superscript"/>
          <w:lang w:val="ro-RO" w:eastAsia="fr-FR"/>
        </w:rPr>
        <w:t>-1</w:t>
      </w:r>
      <w:r w:rsidRPr="00E2686F">
        <w:rPr>
          <w:rFonts w:cs="Times New Roman"/>
          <w:bCs/>
          <w:sz w:val="22"/>
          <w:szCs w:val="22"/>
          <w:lang w:val="ro-RO" w:eastAsia="fr-FR"/>
        </w:rPr>
        <w:t>) w</w:t>
      </w:r>
      <w:r w:rsidR="000D7647">
        <w:rPr>
          <w:rFonts w:cs="Times New Roman"/>
          <w:bCs/>
          <w:sz w:val="22"/>
          <w:szCs w:val="22"/>
          <w:lang w:val="ro-RO" w:eastAsia="fr-FR"/>
        </w:rPr>
        <w:t>as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obtained</w:t>
      </w:r>
      <w:r w:rsidR="00350020">
        <w:rPr>
          <w:rFonts w:cs="Times New Roman"/>
          <w:bCs/>
          <w:sz w:val="22"/>
          <w:szCs w:val="22"/>
          <w:lang w:val="ro-RO" w:eastAsia="fr-FR"/>
        </w:rPr>
        <w:t>, h</w:t>
      </w:r>
      <w:r w:rsidR="000D7647">
        <w:rPr>
          <w:rFonts w:cs="Times New Roman"/>
          <w:bCs/>
          <w:sz w:val="22"/>
          <w:szCs w:val="22"/>
          <w:lang w:val="ro-RO" w:eastAsia="fr-FR"/>
        </w:rPr>
        <w:t>owever, different 3HV fractions were obtained. In cultures performed to 300 rpm a</w:t>
      </w:r>
      <w:r w:rsidR="00024420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="00024420" w:rsidRPr="00E2686F">
        <w:rPr>
          <w:rFonts w:cs="Times New Roman"/>
          <w:bCs/>
          <w:sz w:val="22"/>
          <w:szCs w:val="22"/>
          <w:lang w:val="ro-RO" w:eastAsia="fr-FR"/>
        </w:rPr>
        <w:t>Y</w:t>
      </w:r>
      <w:r w:rsidR="00024420" w:rsidRPr="00E2686F">
        <w:rPr>
          <w:rFonts w:cs="Times New Roman"/>
          <w:bCs/>
          <w:sz w:val="22"/>
          <w:szCs w:val="22"/>
          <w:vertAlign w:val="subscript"/>
          <w:lang w:val="ro-RO" w:eastAsia="fr-FR"/>
        </w:rPr>
        <w:t>PHBV/S</w:t>
      </w:r>
      <w:r w:rsidR="00024420">
        <w:rPr>
          <w:rFonts w:cs="Times New Roman"/>
          <w:bCs/>
          <w:sz w:val="22"/>
          <w:szCs w:val="22"/>
          <w:lang w:val="ro-RO" w:eastAsia="fr-FR"/>
        </w:rPr>
        <w:t xml:space="preserve"> of </w:t>
      </w:r>
      <w:r w:rsidR="00024420" w:rsidRPr="00E2686F">
        <w:rPr>
          <w:rFonts w:cs="Times New Roman"/>
          <w:bCs/>
          <w:sz w:val="22"/>
          <w:szCs w:val="22"/>
          <w:lang w:val="ro-RO" w:eastAsia="fr-FR"/>
        </w:rPr>
        <w:t>0.17 g g</w:t>
      </w:r>
      <w:r w:rsidR="00024420" w:rsidRPr="00E2686F">
        <w:rPr>
          <w:rFonts w:cs="Times New Roman"/>
          <w:bCs/>
          <w:sz w:val="22"/>
          <w:szCs w:val="22"/>
          <w:vertAlign w:val="superscript"/>
          <w:lang w:val="ro-RO" w:eastAsia="fr-FR"/>
        </w:rPr>
        <w:t>-1</w:t>
      </w:r>
      <w:r w:rsidR="00024420">
        <w:rPr>
          <w:rFonts w:cs="Times New Roman"/>
          <w:bCs/>
          <w:sz w:val="22"/>
          <w:szCs w:val="22"/>
          <w:lang w:val="ro-RO" w:eastAsia="fr-FR"/>
        </w:rPr>
        <w:t xml:space="preserve"> and 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 xml:space="preserve">3HV fraction of 11.5 </w:t>
      </w:r>
      <w:r w:rsidR="000D7647" w:rsidRPr="00E2686F">
        <w:rPr>
          <w:bCs/>
          <w:sz w:val="22"/>
          <w:szCs w:val="22"/>
          <w:lang w:val="ro-RO" w:eastAsia="fr-FR"/>
        </w:rPr>
        <w:t xml:space="preserve">± 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>1.4 mol %</w:t>
      </w:r>
      <w:r w:rsidR="00024420">
        <w:rPr>
          <w:rFonts w:cs="Times New Roman"/>
          <w:bCs/>
          <w:sz w:val="22"/>
          <w:szCs w:val="22"/>
          <w:lang w:val="ro-RO" w:eastAsia="fr-FR"/>
        </w:rPr>
        <w:t xml:space="preserve"> (at 96 h)</w:t>
      </w:r>
      <w:r w:rsidR="000D7647">
        <w:rPr>
          <w:rFonts w:cs="Times New Roman"/>
          <w:bCs/>
          <w:sz w:val="22"/>
          <w:szCs w:val="22"/>
          <w:lang w:val="ro-RO" w:eastAsia="fr-FR"/>
        </w:rPr>
        <w:t xml:space="preserve">, whereas to 600 rpm a </w:t>
      </w:r>
      <w:r w:rsidR="00024420" w:rsidRPr="00E2686F">
        <w:rPr>
          <w:rFonts w:cs="Times New Roman"/>
          <w:bCs/>
          <w:sz w:val="22"/>
          <w:szCs w:val="22"/>
          <w:lang w:val="ro-RO" w:eastAsia="fr-FR"/>
        </w:rPr>
        <w:t>highest Y</w:t>
      </w:r>
      <w:r w:rsidR="00024420" w:rsidRPr="00E2686F">
        <w:rPr>
          <w:rFonts w:cs="Times New Roman"/>
          <w:bCs/>
          <w:sz w:val="22"/>
          <w:szCs w:val="22"/>
          <w:vertAlign w:val="subscript"/>
          <w:lang w:val="ro-RO" w:eastAsia="fr-FR"/>
        </w:rPr>
        <w:t>PHBV/S</w:t>
      </w:r>
      <w:r w:rsidR="00024420" w:rsidRPr="00E2686F">
        <w:rPr>
          <w:rFonts w:cs="Times New Roman"/>
          <w:bCs/>
          <w:sz w:val="22"/>
          <w:szCs w:val="22"/>
          <w:lang w:val="ro-RO" w:eastAsia="fr-FR"/>
        </w:rPr>
        <w:t xml:space="preserve"> (0.24 g g</w:t>
      </w:r>
      <w:r w:rsidR="00024420" w:rsidRPr="00E2686F">
        <w:rPr>
          <w:rFonts w:cs="Times New Roman"/>
          <w:bCs/>
          <w:sz w:val="22"/>
          <w:szCs w:val="22"/>
          <w:vertAlign w:val="superscript"/>
          <w:lang w:val="ro-RO" w:eastAsia="fr-FR"/>
        </w:rPr>
        <w:t>-1</w:t>
      </w:r>
      <w:r w:rsidR="00024420" w:rsidRPr="00E2686F">
        <w:rPr>
          <w:rFonts w:cs="Times New Roman"/>
          <w:bCs/>
          <w:sz w:val="22"/>
          <w:szCs w:val="22"/>
          <w:lang w:val="ro-RO" w:eastAsia="fr-FR"/>
        </w:rPr>
        <w:t>)</w:t>
      </w:r>
      <w:r w:rsidR="00024420">
        <w:rPr>
          <w:rFonts w:cs="Times New Roman"/>
          <w:bCs/>
          <w:sz w:val="22"/>
          <w:szCs w:val="22"/>
          <w:lang w:val="ro-RO" w:eastAsia="fr-FR"/>
        </w:rPr>
        <w:t xml:space="preserve"> and 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 xml:space="preserve">3HV fraction of 7.6 </w:t>
      </w:r>
      <w:r w:rsidR="000D7647" w:rsidRPr="00E2686F">
        <w:rPr>
          <w:bCs/>
          <w:sz w:val="22"/>
          <w:szCs w:val="22"/>
          <w:lang w:val="ro-RO" w:eastAsia="fr-FR"/>
        </w:rPr>
        <w:t xml:space="preserve">± 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>1.1 mol % was achieved</w:t>
      </w:r>
      <w:r w:rsidR="00024420">
        <w:rPr>
          <w:rFonts w:cs="Times New Roman"/>
          <w:bCs/>
          <w:sz w:val="22"/>
          <w:szCs w:val="22"/>
          <w:lang w:val="ro-RO" w:eastAsia="fr-FR"/>
        </w:rPr>
        <w:t xml:space="preserve"> (at 48 h)</w:t>
      </w:r>
      <w:r w:rsidR="000D7647">
        <w:rPr>
          <w:rFonts w:cs="Times New Roman"/>
          <w:bCs/>
          <w:sz w:val="22"/>
          <w:szCs w:val="22"/>
          <w:lang w:val="ro-RO" w:eastAsia="fr-FR"/>
        </w:rPr>
        <w:t xml:space="preserve">. 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PHBV films containing 11.5 and 14.9 mol % 3HV (cell harvested at 96 h) from cultures performed </w:t>
      </w:r>
      <w:r w:rsidR="000D7647">
        <w:rPr>
          <w:rFonts w:cs="Times New Roman"/>
          <w:bCs/>
          <w:sz w:val="22"/>
          <w:szCs w:val="22"/>
          <w:lang w:val="ro-RO" w:eastAsia="fr-FR"/>
        </w:rPr>
        <w:t>at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Pr="00E2686F">
        <w:rPr>
          <w:rFonts w:cs="Times New Roman"/>
          <w:bCs/>
          <w:sz w:val="22"/>
          <w:szCs w:val="22"/>
          <w:lang w:val="ro-RO" w:eastAsia="fr-FR"/>
        </w:rPr>
        <w:t>300 and 600 rpm, were prepared through the conventional solvent-cast technique, and characterized through thermomechanical analysis. The TG graph analysis</w:t>
      </w:r>
      <w:r w:rsidR="008440F3">
        <w:rPr>
          <w:rFonts w:cs="Times New Roman"/>
          <w:bCs/>
          <w:sz w:val="22"/>
          <w:szCs w:val="22"/>
          <w:lang w:val="ro-RO" w:eastAsia="fr-FR"/>
        </w:rPr>
        <w:t xml:space="preserve"> showed that the two PHBV 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films did not begin thermal </w:t>
      </w:r>
      <w:r w:rsidR="000D7647">
        <w:rPr>
          <w:rFonts w:cs="Times New Roman"/>
          <w:bCs/>
          <w:sz w:val="22"/>
          <w:szCs w:val="22"/>
          <w:lang w:val="ro-RO" w:eastAsia="fr-FR"/>
        </w:rPr>
        <w:t>decomposition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until 293 °C, and there were </w:t>
      </w:r>
      <w:r w:rsidR="000D7647">
        <w:rPr>
          <w:rFonts w:cs="Times New Roman"/>
          <w:bCs/>
          <w:sz w:val="22"/>
          <w:szCs w:val="22"/>
          <w:lang w:val="ro-RO" w:eastAsia="fr-FR"/>
        </w:rPr>
        <w:t>no</w:t>
      </w:r>
      <w:r w:rsidR="000D7647" w:rsidRPr="00E2686F">
        <w:rPr>
          <w:rFonts w:cs="Times New Roman"/>
          <w:bCs/>
          <w:sz w:val="22"/>
          <w:szCs w:val="22"/>
          <w:lang w:val="ro-RO" w:eastAsia="fr-FR"/>
        </w:rPr>
        <w:t xml:space="preserve"> </w:t>
      </w:r>
      <w:r w:rsidRPr="00E2686F">
        <w:rPr>
          <w:rFonts w:cs="Times New Roman"/>
          <w:bCs/>
          <w:sz w:val="22"/>
          <w:szCs w:val="22"/>
          <w:lang w:val="ro-RO" w:eastAsia="fr-FR"/>
        </w:rPr>
        <w:t>significant decreases in the T</w:t>
      </w:r>
      <w:r w:rsidRPr="00E2686F">
        <w:rPr>
          <w:rFonts w:cs="Times New Roman"/>
          <w:bCs/>
          <w:sz w:val="22"/>
          <w:szCs w:val="22"/>
          <w:vertAlign w:val="subscript"/>
          <w:lang w:val="ro-RO" w:eastAsia="fr-FR"/>
        </w:rPr>
        <w:t xml:space="preserve">onset </w:t>
      </w:r>
      <w:r w:rsidRPr="00E2686F">
        <w:rPr>
          <w:rFonts w:cs="Times New Roman"/>
          <w:bCs/>
          <w:sz w:val="22"/>
          <w:szCs w:val="22"/>
          <w:lang w:val="ro-RO" w:eastAsia="fr-FR"/>
        </w:rPr>
        <w:t>and T</w:t>
      </w:r>
      <w:r w:rsidRPr="00E2686F">
        <w:rPr>
          <w:rFonts w:cs="Times New Roman"/>
          <w:bCs/>
          <w:sz w:val="22"/>
          <w:szCs w:val="22"/>
          <w:vertAlign w:val="subscript"/>
          <w:lang w:val="ro-RO" w:eastAsia="fr-FR"/>
        </w:rPr>
        <w:t>peak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(in °C) with increasing 3HV content</w:t>
      </w:r>
      <w:r w:rsidR="00E80537">
        <w:rPr>
          <w:rFonts w:cs="Times New Roman"/>
          <w:bCs/>
          <w:sz w:val="22"/>
          <w:szCs w:val="22"/>
          <w:lang w:val="ro-RO" w:eastAsia="fr-FR"/>
        </w:rPr>
        <w:t xml:space="preserve">, </w:t>
      </w:r>
      <w:r w:rsidR="00885604">
        <w:rPr>
          <w:rFonts w:cs="Times New Roman"/>
          <w:bCs/>
          <w:sz w:val="22"/>
          <w:szCs w:val="22"/>
          <w:lang w:val="ro-RO" w:eastAsia="fr-FR"/>
        </w:rPr>
        <w:t xml:space="preserve">showing equal thermal stability. 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Overall, the results of this study will improve the understanding of the PHBV production by </w:t>
      </w:r>
      <w:r w:rsidRPr="00E2686F">
        <w:rPr>
          <w:rFonts w:cs="Times New Roman"/>
          <w:bCs/>
          <w:i/>
          <w:sz w:val="22"/>
          <w:szCs w:val="22"/>
          <w:lang w:val="ro-RO" w:eastAsia="fr-FR"/>
        </w:rPr>
        <w:t>A. vinelandii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OP and could be suitable for the</w:t>
      </w:r>
      <w:r w:rsidR="008440F3">
        <w:rPr>
          <w:rFonts w:cs="Times New Roman"/>
          <w:bCs/>
          <w:sz w:val="22"/>
          <w:szCs w:val="22"/>
          <w:lang w:val="ro-RO" w:eastAsia="fr-FR"/>
        </w:rPr>
        <w:t xml:space="preserve"> production of biopolymer</w:t>
      </w:r>
      <w:r w:rsidRPr="00E2686F">
        <w:rPr>
          <w:rFonts w:cs="Times New Roman"/>
          <w:bCs/>
          <w:sz w:val="22"/>
          <w:szCs w:val="22"/>
          <w:lang w:val="ro-RO" w:eastAsia="fr-FR"/>
        </w:rPr>
        <w:t xml:space="preserve"> blends for different biotechnological applications</w:t>
      </w:r>
      <w:r>
        <w:rPr>
          <w:rFonts w:cs="Times New Roman"/>
          <w:bCs/>
          <w:sz w:val="22"/>
          <w:szCs w:val="22"/>
          <w:lang w:val="ro-RO" w:eastAsia="fr-FR"/>
        </w:rPr>
        <w:t>.</w:t>
      </w:r>
    </w:p>
    <w:p w14:paraId="6E13BBBF" w14:textId="77777777" w:rsidR="00885604" w:rsidRPr="00DE5C4E" w:rsidRDefault="00885604" w:rsidP="00D612B4">
      <w:pPr>
        <w:jc w:val="both"/>
        <w:rPr>
          <w:rFonts w:cs="Times New Roman"/>
          <w:b/>
          <w:lang w:val="ro-RO" w:eastAsia="fr-FR"/>
        </w:rPr>
      </w:pPr>
    </w:p>
    <w:p w14:paraId="3170F14A" w14:textId="77777777" w:rsidR="005B65CF" w:rsidRPr="00E2686F" w:rsidRDefault="005B65CF" w:rsidP="005B65CF">
      <w:pPr>
        <w:jc w:val="both"/>
      </w:pPr>
      <w:r w:rsidRPr="00E2686F">
        <w:t>Acknowledgements:</w:t>
      </w:r>
    </w:p>
    <w:p w14:paraId="54E56D9C" w14:textId="2AF8178C" w:rsidR="005B65CF" w:rsidRDefault="005B65CF" w:rsidP="005B65CF">
      <w:pPr>
        <w:jc w:val="both"/>
      </w:pPr>
      <w:r w:rsidRPr="00E2686F">
        <w:rPr>
          <w:lang w:val="ro-RO"/>
        </w:rPr>
        <w:t>This research was supported and funded by the Agencia Nacional de Investigacion y Desarrollo, Chile (ANID) through FONDECYT Initiation 11230164 (VU)</w:t>
      </w:r>
      <w:r w:rsidR="00AE100E">
        <w:rPr>
          <w:lang w:val="ro-RO"/>
        </w:rPr>
        <w:t xml:space="preserve"> and FONDECYT Regular 12</w:t>
      </w:r>
      <w:bookmarkStart w:id="0" w:name="_GoBack"/>
      <w:bookmarkEnd w:id="0"/>
      <w:r w:rsidR="00AE100E">
        <w:rPr>
          <w:lang w:val="ro-RO"/>
        </w:rPr>
        <w:t>31075 (AD)</w:t>
      </w:r>
      <w:r w:rsidRPr="00E2686F">
        <w:rPr>
          <w:lang w:val="ro-RO"/>
        </w:rPr>
        <w:t>.</w:t>
      </w:r>
      <w:r w:rsidRPr="00E2686F">
        <w:t>The authors would lik</w:t>
      </w:r>
      <w:r w:rsidR="00092558">
        <w:t xml:space="preserve">e to thank to the HUB </w:t>
      </w:r>
      <w:proofErr w:type="spellStart"/>
      <w:r w:rsidR="00092558">
        <w:t>Ambiental</w:t>
      </w:r>
      <w:proofErr w:type="spellEnd"/>
      <w:r w:rsidR="00092558">
        <w:t xml:space="preserve"> </w:t>
      </w:r>
      <w:r w:rsidRPr="00E2686F">
        <w:t>UPLA for providing the GC-MS equipment.</w:t>
      </w:r>
    </w:p>
    <w:p w14:paraId="00AAEFB0" w14:textId="77777777" w:rsidR="005B65CF" w:rsidRPr="00E2686F" w:rsidRDefault="005B65CF" w:rsidP="005B65CF">
      <w:pPr>
        <w:jc w:val="both"/>
        <w:rPr>
          <w:lang w:val="ro-RO"/>
        </w:rPr>
      </w:pPr>
    </w:p>
    <w:p w14:paraId="38B9E9A3" w14:textId="77777777" w:rsidR="005B65CF" w:rsidRPr="00E2686F" w:rsidRDefault="005B65CF" w:rsidP="005B65CF">
      <w:pPr>
        <w:rPr>
          <w:rFonts w:cs="Times New Roman"/>
          <w:bCs/>
          <w:lang w:val="ro-RO" w:eastAsia="fr-FR"/>
        </w:rPr>
      </w:pPr>
      <w:r w:rsidRPr="00E2686F">
        <w:rPr>
          <w:rFonts w:cs="Times New Roman"/>
          <w:bCs/>
          <w:lang w:val="ro-RO" w:eastAsia="fr-FR"/>
        </w:rPr>
        <w:t>Reference:</w:t>
      </w:r>
    </w:p>
    <w:p w14:paraId="4F44DC9F" w14:textId="77777777" w:rsidR="005B65CF" w:rsidRPr="00E2686F" w:rsidRDefault="005B65CF" w:rsidP="00092558">
      <w:pPr>
        <w:jc w:val="both"/>
        <w:rPr>
          <w:rFonts w:cs="Times New Roman"/>
          <w:bCs/>
          <w:lang w:val="ro-RO" w:eastAsia="fr-FR"/>
        </w:rPr>
      </w:pPr>
      <w:r w:rsidRPr="00E2686F">
        <w:rPr>
          <w:rFonts w:cs="Times New Roman"/>
          <w:bCs/>
          <w:lang w:val="ro-RO" w:eastAsia="fr-FR"/>
        </w:rPr>
        <w:t>[1] V.V. Devadas, K.S. Khoo, W.Y. Chia, K.W. Chew, H.S.H. Munawaroh, M.K. Lam, J.W. Lim, Y.C. Ho, K.T. Lee, P.L. Show, Algae biopolumer towards sustainable circular economy, Bioreso</w:t>
      </w:r>
      <w:r w:rsidR="009F360C">
        <w:rPr>
          <w:rFonts w:cs="Times New Roman"/>
          <w:bCs/>
          <w:lang w:val="ro-RO" w:eastAsia="fr-FR"/>
        </w:rPr>
        <w:t>ur. Technol. 325 (2021) 124702.</w:t>
      </w:r>
    </w:p>
    <w:p w14:paraId="1FD08CDD" w14:textId="77777777" w:rsidR="005B65CF" w:rsidRPr="00E2686F" w:rsidRDefault="005B65CF" w:rsidP="00092558">
      <w:pPr>
        <w:jc w:val="both"/>
        <w:rPr>
          <w:rFonts w:cs="Times New Roman"/>
          <w:bCs/>
          <w:lang w:val="ro-RO" w:eastAsia="fr-FR"/>
        </w:rPr>
      </w:pPr>
      <w:r w:rsidRPr="00E2686F">
        <w:rPr>
          <w:rFonts w:cs="Times New Roman"/>
          <w:bCs/>
          <w:lang w:val="ro-RO" w:eastAsia="fr-FR"/>
        </w:rPr>
        <w:t>[2] M.L. Tebaldi, A.L.C. Maia, F. Poletto, F.V. de Andrade, D.C.F. Soares, Poly(-3-hydroxybutyrate-</w:t>
      </w:r>
      <w:r w:rsidRPr="00E2686F">
        <w:rPr>
          <w:rFonts w:cs="Times New Roman"/>
          <w:bCs/>
          <w:i/>
          <w:lang w:val="ro-RO" w:eastAsia="fr-FR"/>
        </w:rPr>
        <w:t>co</w:t>
      </w:r>
      <w:r w:rsidRPr="00E2686F">
        <w:rPr>
          <w:rFonts w:cs="Times New Roman"/>
          <w:bCs/>
          <w:lang w:val="ro-RO" w:eastAsia="fr-FR"/>
        </w:rPr>
        <w:t>-3-hydroxyvalerate) (PHBV): current advances in syhthesis methodologies, antitumor applications and biocompatibility, J.Drug Deliv. S</w:t>
      </w:r>
      <w:r w:rsidR="009F360C">
        <w:rPr>
          <w:rFonts w:cs="Times New Roman"/>
          <w:bCs/>
          <w:lang w:val="ro-RO" w:eastAsia="fr-FR"/>
        </w:rPr>
        <w:t>ci. Technol. 51 (2019) 115-126.</w:t>
      </w:r>
    </w:p>
    <w:p w14:paraId="1EB8D09B" w14:textId="77777777" w:rsidR="00AE1A8A" w:rsidRDefault="005B65CF" w:rsidP="00092558">
      <w:pPr>
        <w:jc w:val="both"/>
        <w:rPr>
          <w:rFonts w:cs="Times New Roman"/>
          <w:bCs/>
          <w:lang w:val="ro-RO" w:eastAsia="fr-FR"/>
        </w:rPr>
      </w:pPr>
      <w:r w:rsidRPr="00E2686F">
        <w:rPr>
          <w:rFonts w:cs="Times New Roman"/>
          <w:bCs/>
          <w:lang w:val="ro-RO" w:eastAsia="fr-FR"/>
        </w:rPr>
        <w:t>[3] V. Urtuvia, N. Maturana, C. Peña, A. Díaz-Barrera, Accumulation of poly(3-hydroxybutyrate-</w:t>
      </w:r>
      <w:r w:rsidRPr="00E2686F">
        <w:rPr>
          <w:rFonts w:cs="Times New Roman"/>
          <w:bCs/>
          <w:i/>
          <w:lang w:val="ro-RO" w:eastAsia="fr-FR"/>
        </w:rPr>
        <w:t>co</w:t>
      </w:r>
      <w:r w:rsidRPr="00E2686F">
        <w:rPr>
          <w:rFonts w:cs="Times New Roman"/>
          <w:bCs/>
          <w:lang w:val="ro-RO" w:eastAsia="fr-FR"/>
        </w:rPr>
        <w:t xml:space="preserve">-3-hydroxyvalerate) by </w:t>
      </w:r>
      <w:r w:rsidRPr="00E2686F">
        <w:rPr>
          <w:rFonts w:cs="Times New Roman"/>
          <w:bCs/>
          <w:i/>
          <w:lang w:val="ro-RO" w:eastAsia="fr-FR"/>
        </w:rPr>
        <w:t>Azotobacter vinelandii</w:t>
      </w:r>
      <w:r w:rsidRPr="00E2686F">
        <w:rPr>
          <w:rFonts w:cs="Times New Roman"/>
          <w:bCs/>
          <w:lang w:val="ro-RO" w:eastAsia="fr-FR"/>
        </w:rPr>
        <w:t xml:space="preserve"> with differe</w:t>
      </w:r>
      <w:r w:rsidR="00092558">
        <w:rPr>
          <w:rFonts w:cs="Times New Roman"/>
          <w:bCs/>
          <w:lang w:val="ro-RO" w:eastAsia="fr-FR"/>
        </w:rPr>
        <w:t>nt 3HV fraction in shake flasks</w:t>
      </w:r>
      <w:r w:rsidRPr="00E2686F">
        <w:rPr>
          <w:rFonts w:cs="Times New Roman"/>
          <w:bCs/>
          <w:lang w:val="ro-RO" w:eastAsia="fr-FR"/>
        </w:rPr>
        <w:t xml:space="preserve"> and bioreactor, Bioprocess Biosyst. Eng., 43(8) (2020) 1469-1478</w:t>
      </w:r>
      <w:r>
        <w:rPr>
          <w:rFonts w:cs="Times New Roman"/>
          <w:bCs/>
          <w:lang w:val="ro-RO" w:eastAsia="fr-FR"/>
        </w:rPr>
        <w:t>.</w:t>
      </w:r>
    </w:p>
    <w:sectPr w:rsidR="00AE1A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4" w:right="1134" w:bottom="1134" w:left="1701" w:header="284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9F9D08" w16cex:dateUtc="2024-09-26T11:42:00Z"/>
  <w16cex:commentExtensible w16cex:durableId="2A9F9D30" w16cex:dateUtc="2024-09-26T11:43:00Z"/>
  <w16cex:commentExtensible w16cex:durableId="2A9F9D59" w16cex:dateUtc="2024-09-26T11:44:00Z"/>
  <w16cex:commentExtensible w16cex:durableId="2A9F9D66" w16cex:dateUtc="2024-09-26T11:44:00Z"/>
  <w16cex:commentExtensible w16cex:durableId="2A9F9D72" w16cex:dateUtc="2024-09-26T11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D1F9D64" w16cid:durableId="2A9F9D08"/>
  <w16cid:commentId w16cid:paraId="7D040FF0" w16cid:durableId="2A9F9D30"/>
  <w16cid:commentId w16cid:paraId="63B38ABA" w16cid:durableId="2A9F9D59"/>
  <w16cid:commentId w16cid:paraId="4D6D8B67" w16cid:durableId="2A9F9D66"/>
  <w16cid:commentId w16cid:paraId="41F940C2" w16cid:durableId="2A9F9D7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9300A4" w14:textId="77777777" w:rsidR="00F25EAF" w:rsidRDefault="00F25EAF">
      <w:r>
        <w:separator/>
      </w:r>
    </w:p>
  </w:endnote>
  <w:endnote w:type="continuationSeparator" w:id="0">
    <w:p w14:paraId="2EB23578" w14:textId="77777777" w:rsidR="00F25EAF" w:rsidRDefault="00F25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</w:font>
  <w:font w:name="Noto Sans CJK SC Regular"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oid Sans Fallback">
    <w:charset w:val="01"/>
    <w:family w:val="auto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EE9AF" w14:textId="77777777" w:rsidR="0069405B" w:rsidRDefault="006940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FA848" w14:textId="77777777" w:rsidR="0069405B" w:rsidRDefault="0069405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F90CD" w14:textId="77777777" w:rsidR="0069405B" w:rsidRDefault="006940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11F15" w14:textId="77777777" w:rsidR="00F25EAF" w:rsidRDefault="00F25EAF">
      <w:r>
        <w:separator/>
      </w:r>
    </w:p>
  </w:footnote>
  <w:footnote w:type="continuationSeparator" w:id="0">
    <w:p w14:paraId="3C954BEC" w14:textId="77777777" w:rsidR="00F25EAF" w:rsidRDefault="00F25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86DE7" w14:textId="77777777" w:rsidR="002176E8" w:rsidRDefault="002176E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F1161" w14:textId="137C5BC1" w:rsidR="00555F27" w:rsidRDefault="000D7647">
    <w:pPr>
      <w:pStyle w:val="Encabezado"/>
      <w:ind w:right="360"/>
      <w:jc w:val="center"/>
      <w:rPr>
        <w:sz w:val="32"/>
        <w:lang w:val="es-ES_tradnl" w:eastAsia="es-CL"/>
      </w:rPr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7578F8C2" wp14:editId="049CEEA8">
          <wp:simplePos x="0" y="0"/>
          <wp:positionH relativeFrom="column">
            <wp:posOffset>-1080135</wp:posOffset>
          </wp:positionH>
          <wp:positionV relativeFrom="paragraph">
            <wp:posOffset>-180340</wp:posOffset>
          </wp:positionV>
          <wp:extent cx="7813675" cy="1379220"/>
          <wp:effectExtent l="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675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CEC2655" wp14:editId="306D13AF">
              <wp:simplePos x="0" y="0"/>
              <wp:positionH relativeFrom="page">
                <wp:posOffset>7037705</wp:posOffset>
              </wp:positionH>
              <wp:positionV relativeFrom="paragraph">
                <wp:posOffset>635</wp:posOffset>
              </wp:positionV>
              <wp:extent cx="17780" cy="136525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" cy="1365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76E75" w14:textId="77777777" w:rsidR="00555F27" w:rsidRDefault="00555F27">
                          <w:pPr>
                            <w:pStyle w:val="Encabezado"/>
                          </w:pPr>
                        </w:p>
                      </w:txbxContent>
                    </wps:txbx>
                    <wps:bodyPr rot="0" vert="horz" wrap="square" lIns="1905" tIns="1905" rIns="1905" bIns="190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CEC26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54.15pt;margin-top:.05pt;width:1.4pt;height:10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" stroked="f">
              <v:fill opacity="0"/>
              <v:textbox inset=".15pt,.15pt,.15pt,.15pt">
                <w:txbxContent>
                  <w:p w14:paraId="4A876E75" w14:textId="77777777" w:rsidR="00555F27" w:rsidRDefault="00555F27">
                    <w:pPr>
                      <w:pStyle w:val="Encabezado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5D8A73E7" w14:textId="77777777" w:rsidR="00555F27" w:rsidRDefault="00555F27">
    <w:pPr>
      <w:pStyle w:val="Encabezado"/>
      <w:ind w:right="360"/>
    </w:pPr>
    <w:r>
      <w:rPr>
        <w:lang w:val="es-ES_tradn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52045" w14:textId="77777777" w:rsidR="00555F27" w:rsidRDefault="00555F2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Ttulo4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Helvetica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07803"/>
    <w:rsid w:val="00007803"/>
    <w:rsid w:val="00024420"/>
    <w:rsid w:val="00086C73"/>
    <w:rsid w:val="00092558"/>
    <w:rsid w:val="000D7647"/>
    <w:rsid w:val="000E482A"/>
    <w:rsid w:val="0010408F"/>
    <w:rsid w:val="002176E8"/>
    <w:rsid w:val="002211F6"/>
    <w:rsid w:val="002660E7"/>
    <w:rsid w:val="002D6C6A"/>
    <w:rsid w:val="002F5823"/>
    <w:rsid w:val="002F66D9"/>
    <w:rsid w:val="00350020"/>
    <w:rsid w:val="00350115"/>
    <w:rsid w:val="0039229D"/>
    <w:rsid w:val="004D4705"/>
    <w:rsid w:val="00555F27"/>
    <w:rsid w:val="00584474"/>
    <w:rsid w:val="005A22A3"/>
    <w:rsid w:val="005A2F82"/>
    <w:rsid w:val="005B65CF"/>
    <w:rsid w:val="005D50D9"/>
    <w:rsid w:val="00633949"/>
    <w:rsid w:val="0069405B"/>
    <w:rsid w:val="006F1EC6"/>
    <w:rsid w:val="00734576"/>
    <w:rsid w:val="00776B1D"/>
    <w:rsid w:val="007E19FF"/>
    <w:rsid w:val="007F510A"/>
    <w:rsid w:val="008126F1"/>
    <w:rsid w:val="00824DF2"/>
    <w:rsid w:val="008440F3"/>
    <w:rsid w:val="00885604"/>
    <w:rsid w:val="008D497A"/>
    <w:rsid w:val="008F2078"/>
    <w:rsid w:val="009A0233"/>
    <w:rsid w:val="009C3A0B"/>
    <w:rsid w:val="009F0C14"/>
    <w:rsid w:val="009F360C"/>
    <w:rsid w:val="00A30FBE"/>
    <w:rsid w:val="00AB698A"/>
    <w:rsid w:val="00AE100E"/>
    <w:rsid w:val="00AE1A8A"/>
    <w:rsid w:val="00B3250D"/>
    <w:rsid w:val="00BF058B"/>
    <w:rsid w:val="00CB4950"/>
    <w:rsid w:val="00D34698"/>
    <w:rsid w:val="00D45F5F"/>
    <w:rsid w:val="00D612B4"/>
    <w:rsid w:val="00D8413E"/>
    <w:rsid w:val="00DE3876"/>
    <w:rsid w:val="00DE5C4E"/>
    <w:rsid w:val="00E80537"/>
    <w:rsid w:val="00E8351A"/>
    <w:rsid w:val="00F004AA"/>
    <w:rsid w:val="00F25EAF"/>
    <w:rsid w:val="00F94AC0"/>
    <w:rsid w:val="00FD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310EEE4"/>
  <w15:chartTrackingRefBased/>
  <w15:docId w15:val="{4B9984BB-6641-40DB-BA1A-EF5F34FA8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Helvetica" w:hAnsi="Helvetica" w:cs="Helvetica"/>
      <w:lang w:val="en-US"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i/>
      <w:sz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qFormat/>
    <w:pPr>
      <w:keepNext/>
      <w:numPr>
        <w:numId w:val="2"/>
      </w:numPr>
      <w:outlineLvl w:val="3"/>
    </w:pPr>
    <w:rPr>
      <w:rFonts w:ascii="Arial" w:hAnsi="Arial" w:cs="Arial"/>
      <w:b/>
      <w:bCs/>
      <w:lang w:val="ro-R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  <w:b w:val="0"/>
      <w:i w:val="0"/>
      <w:sz w:val="2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Arial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Caracteresdenotafinal">
    <w:name w:val="Caracteres de nota final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1"/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ascii="Calibri" w:hAnsi="Calibri"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TFReferencesSection">
    <w:name w:val="TF_References_Section"/>
    <w:basedOn w:val="Normal"/>
    <w:pPr>
      <w:spacing w:line="170" w:lineRule="exact"/>
      <w:ind w:firstLine="187"/>
      <w:jc w:val="both"/>
    </w:pPr>
    <w:rPr>
      <w:rFonts w:ascii="Times" w:hAnsi="Times" w:cs="Times"/>
      <w:sz w:val="16"/>
    </w:rPr>
  </w:style>
  <w:style w:type="paragraph" w:styleId="Textonotapie">
    <w:name w:val="footnote text"/>
    <w:basedOn w:val="TFReferencesSection"/>
    <w:next w:val="TFReferencesSection"/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exact"/>
      <w:ind w:right="3024"/>
    </w:pPr>
    <w:rPr>
      <w:rFonts w:ascii="Times" w:hAnsi="Times" w:cs="Times"/>
      <w:i/>
    </w:rPr>
  </w:style>
  <w:style w:type="paragraph" w:customStyle="1" w:styleId="BIEmailAddress">
    <w:name w:val="BI_Email_Address"/>
    <w:next w:val="AIReceive03"/>
    <w:pPr>
      <w:suppressAutoHyphens/>
      <w:spacing w:after="120" w:line="240" w:lineRule="exact"/>
      <w:ind w:right="3024"/>
    </w:pPr>
    <w:rPr>
      <w:rFonts w:ascii="Times" w:hAnsi="Times" w:cs="Times"/>
      <w:i/>
      <w:lang w:val="en-US" w:eastAsia="zh-CN"/>
    </w:rPr>
  </w:style>
  <w:style w:type="paragraph" w:customStyle="1" w:styleId="AIReceive03">
    <w:name w:val="AI_Receive03"/>
    <w:basedOn w:val="Normal"/>
    <w:next w:val="Absbox"/>
    <w:pPr>
      <w:spacing w:after="600" w:line="240" w:lineRule="exact"/>
      <w:ind w:right="3024"/>
    </w:pPr>
    <w:rPr>
      <w:b/>
      <w:sz w:val="18"/>
    </w:rPr>
  </w:style>
  <w:style w:type="paragraph" w:customStyle="1" w:styleId="BDAbstract">
    <w:name w:val="BD_Abstract"/>
    <w:pPr>
      <w:pBdr>
        <w:top w:val="none" w:sz="0" w:space="0" w:color="000000"/>
        <w:left w:val="none" w:sz="0" w:space="0" w:color="000000"/>
        <w:bottom w:val="single" w:sz="6" w:space="12" w:color="000000"/>
        <w:right w:val="none" w:sz="0" w:space="0" w:color="000000"/>
      </w:pBdr>
      <w:suppressAutoHyphens/>
      <w:spacing w:before="200" w:after="200" w:line="220" w:lineRule="exact"/>
      <w:jc w:val="both"/>
    </w:pPr>
    <w:rPr>
      <w:rFonts w:ascii="Helvetica" w:hAnsi="Helvetica" w:cs="Helvetica"/>
      <w:b/>
      <w:sz w:val="18"/>
      <w:lang w:val="en-US" w:eastAsia="zh-CN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clear" w:color="auto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exact"/>
      <w:jc w:val="center"/>
    </w:pPr>
    <w:rPr>
      <w:rFonts w:ascii="Times" w:hAnsi="Times" w:cs="Times"/>
      <w:sz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 w:cs="Times"/>
      <w:sz w:val="18"/>
    </w:rPr>
  </w:style>
  <w:style w:type="paragraph" w:customStyle="1" w:styleId="TCScheme08">
    <w:name w:val="TC_Scheme_08"/>
    <w:basedOn w:val="Normal"/>
    <w:pPr>
      <w:spacing w:after="211" w:line="194" w:lineRule="exact"/>
    </w:pPr>
    <w:rPr>
      <w:sz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 w:cs="Times"/>
      <w:sz w:val="18"/>
    </w:rPr>
  </w:style>
  <w:style w:type="paragraph" w:customStyle="1" w:styleId="bar">
    <w:name w:val="bar"/>
    <w:basedOn w:val="Normal"/>
    <w:next w:val="Normal"/>
    <w:pPr>
      <w:shd w:val="clear" w:color="auto" w:fill="800000"/>
      <w:spacing w:before="360" w:after="80" w:line="220" w:lineRule="exact"/>
    </w:pPr>
  </w:style>
  <w:style w:type="paragraph" w:customStyle="1" w:styleId="thinbar">
    <w:name w:val="thinbar"/>
    <w:next w:val="TAMainText"/>
    <w:pPr>
      <w:pBdr>
        <w:top w:val="none" w:sz="0" w:space="0" w:color="000000"/>
        <w:left w:val="none" w:sz="0" w:space="0" w:color="000000"/>
        <w:bottom w:val="single" w:sz="6" w:space="1" w:color="800000"/>
        <w:right w:val="none" w:sz="0" w:space="0" w:color="000000"/>
      </w:pBdr>
      <w:suppressAutoHyphens/>
      <w:spacing w:before="240" w:after="300" w:line="20" w:lineRule="exact"/>
    </w:pPr>
    <w:rPr>
      <w:rFonts w:ascii="New York" w:hAnsi="New York" w:cs="New York"/>
      <w:lang w:val="en-US" w:eastAsia="zh-CN"/>
    </w:rPr>
  </w:style>
  <w:style w:type="paragraph" w:customStyle="1" w:styleId="graphicbox">
    <w:name w:val="graphicbox"/>
    <w:basedOn w:val="Normal"/>
    <w:next w:val="BDAbstract"/>
    <w:pPr>
      <w:jc w:val="center"/>
    </w:pPr>
    <w:rPr>
      <w:rFonts w:ascii="Times" w:hAnsi="Times" w:cs="Times"/>
      <w:sz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sz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  <w:pPr>
      <w:jc w:val="both"/>
    </w:pPr>
  </w:style>
  <w:style w:type="paragraph" w:styleId="Textonotaalfinal">
    <w:name w:val="endnote text"/>
    <w:basedOn w:val="Normal"/>
  </w:style>
  <w:style w:type="paragraph" w:customStyle="1" w:styleId="VBChartTitle">
    <w:name w:val="VB_Chart_Title"/>
    <w:basedOn w:val="Normal"/>
    <w:next w:val="Normal"/>
    <w:pPr>
      <w:spacing w:before="240" w:line="200" w:lineRule="exact"/>
      <w:jc w:val="both"/>
    </w:pPr>
    <w:rPr>
      <w:rFonts w:ascii="Times" w:hAnsi="Times" w:cs="Times"/>
      <w:sz w:val="19"/>
    </w:rPr>
  </w:style>
  <w:style w:type="paragraph" w:customStyle="1" w:styleId="FCChartFootnote">
    <w:name w:val="FC_Chart_Footnote"/>
    <w:basedOn w:val="FETableFootnote"/>
    <w:pPr>
      <w:spacing w:before="120" w:line="180" w:lineRule="exact"/>
      <w:jc w:val="both"/>
    </w:pPr>
    <w:rPr>
      <w:rFonts w:ascii="Times" w:hAnsi="Times" w:cs="Times"/>
      <w:sz w:val="17"/>
    </w:rPr>
  </w:style>
  <w:style w:type="paragraph" w:customStyle="1" w:styleId="Cabeceraypie">
    <w:name w:val="Cabecera y pie"/>
    <w:basedOn w:val="Normal"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tlbody">
    <w:name w:val="tl_body"/>
    <w:basedOn w:val="Normal"/>
    <w:pPr>
      <w:spacing w:line="260" w:lineRule="exact"/>
      <w:ind w:firstLine="142"/>
      <w:jc w:val="both"/>
    </w:pPr>
    <w:rPr>
      <w:rFonts w:ascii="Times New Roman" w:hAnsi="Times New Roman" w:cs="Times New Roman"/>
      <w:sz w:val="22"/>
      <w:lang w:val="en-GB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styleId="NormalWeb">
    <w:name w:val="Normal (Web)"/>
    <w:basedOn w:val="Normal"/>
    <w:pPr>
      <w:spacing w:before="280" w:after="280"/>
    </w:pPr>
    <w:rPr>
      <w:lang w:val="pl-PL"/>
    </w:rPr>
  </w:style>
  <w:style w:type="character" w:customStyle="1" w:styleId="UnresolvedMention">
    <w:name w:val="Unresolved Mention"/>
    <w:uiPriority w:val="99"/>
    <w:semiHidden/>
    <w:unhideWhenUsed/>
    <w:rsid w:val="00824DF2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ar"/>
    <w:rsid w:val="00D612B4"/>
    <w:pPr>
      <w:jc w:val="center"/>
    </w:pPr>
  </w:style>
  <w:style w:type="character" w:customStyle="1" w:styleId="EndNoteBibliographyTitleCar">
    <w:name w:val="EndNote Bibliography Title Car"/>
    <w:link w:val="EndNoteBibliographyTitle"/>
    <w:rsid w:val="00D612B4"/>
    <w:rPr>
      <w:rFonts w:ascii="Helvetica" w:hAnsi="Helvetica" w:cs="Helvetica"/>
      <w:lang w:val="en-US" w:eastAsia="zh-CN"/>
    </w:rPr>
  </w:style>
  <w:style w:type="paragraph" w:customStyle="1" w:styleId="EndNoteBibliography">
    <w:name w:val="EndNote Bibliography"/>
    <w:basedOn w:val="Normal"/>
    <w:link w:val="EndNoteBibliographyCar"/>
    <w:rsid w:val="00D612B4"/>
    <w:pPr>
      <w:jc w:val="both"/>
    </w:pPr>
  </w:style>
  <w:style w:type="character" w:customStyle="1" w:styleId="EndNoteBibliographyCar">
    <w:name w:val="EndNote Bibliography Car"/>
    <w:link w:val="EndNoteBibliography"/>
    <w:rsid w:val="00D612B4"/>
    <w:rPr>
      <w:rFonts w:ascii="Helvetica" w:hAnsi="Helvetica" w:cs="Helvetica"/>
      <w:lang w:val="en-US" w:eastAsia="zh-CN"/>
    </w:rPr>
  </w:style>
  <w:style w:type="character" w:styleId="Refdecomentario">
    <w:name w:val="annotation reference"/>
    <w:basedOn w:val="Fuentedeprrafopredeter"/>
    <w:uiPriority w:val="99"/>
    <w:semiHidden/>
    <w:unhideWhenUsed/>
    <w:rsid w:val="000D764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647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7647"/>
    <w:rPr>
      <w:rFonts w:ascii="Helvetica" w:hAnsi="Helvetica" w:cs="Helvetica"/>
      <w:lang w:val="en-US"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64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7647"/>
    <w:rPr>
      <w:rFonts w:ascii="Helvetica" w:hAnsi="Helvetica" w:cs="Helvetica"/>
      <w:b/>
      <w:bCs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iviana.urtuvia@pucv.c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para os Anais Impressos do XX SICAT</vt:lpstr>
    </vt:vector>
  </TitlesOfParts>
  <Company/>
  <LinksUpToDate>false</LinksUpToDate>
  <CharactersWithSpaces>3531</CharactersWithSpaces>
  <SharedDoc>false</SharedDoc>
  <HLinks>
    <vt:vector size="6" baseType="variant">
      <vt:variant>
        <vt:i4>2424900</vt:i4>
      </vt:variant>
      <vt:variant>
        <vt:i4>0</vt:i4>
      </vt:variant>
      <vt:variant>
        <vt:i4>0</vt:i4>
      </vt:variant>
      <vt:variant>
        <vt:i4>5</vt:i4>
      </vt:variant>
      <vt:variant>
        <vt:lpwstr>mailto:viviana.urtuvia@pucv.cl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para os Anais Impressos do XX SICAT</dc:title>
  <dc:subject/>
  <dc:creator>Adriano Lisboa Monteiro - IQ - UFRGS</dc:creator>
  <cp:keywords/>
  <cp:lastModifiedBy>polin guti</cp:lastModifiedBy>
  <cp:revision>18</cp:revision>
  <cp:lastPrinted>2011-12-05T20:48:00Z</cp:lastPrinted>
  <dcterms:created xsi:type="dcterms:W3CDTF">2024-09-26T11:45:00Z</dcterms:created>
  <dcterms:modified xsi:type="dcterms:W3CDTF">2024-09-30T13:50:00Z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9ac5ed84dcf4a5107efc7299c2e032e496c656d92b153cb4ee7bb4dc3edd4429</vt:lpwstr>
  </property>
</Properties>
</file>