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F43E499" w14:textId="77777777" w:rsidR="00AB698A" w:rsidRDefault="00AB698A" w:rsidP="00890793">
      <w:pPr>
        <w:pStyle w:val="Ttulo4"/>
        <w:numPr>
          <w:ilvl w:val="0"/>
          <w:numId w:val="0"/>
        </w:numPr>
        <w:jc w:val="center"/>
        <w:rPr>
          <w:rFonts w:ascii="Times New Roman" w:hAnsi="Times New Roman" w:cs="Times New Roman"/>
          <w:sz w:val="28"/>
          <w:szCs w:val="28"/>
        </w:rPr>
      </w:pPr>
    </w:p>
    <w:p w14:paraId="7AA592CD" w14:textId="1E309A7F" w:rsidR="002176E8" w:rsidRPr="0069405B" w:rsidRDefault="00D6047D" w:rsidP="002176E8">
      <w:pPr>
        <w:jc w:val="center"/>
        <w:rPr>
          <w:rFonts w:cs="Times New Roman"/>
          <w:b/>
          <w:bCs/>
          <w:sz w:val="24"/>
          <w:szCs w:val="24"/>
          <w:lang w:val="ro-RO"/>
        </w:rPr>
      </w:pPr>
      <w:r>
        <w:rPr>
          <w:rFonts w:cs="Times New Roman"/>
          <w:b/>
          <w:bCs/>
          <w:sz w:val="24"/>
          <w:szCs w:val="24"/>
        </w:rPr>
        <w:t xml:space="preserve">Permethylated amino acids-grafted chitosan </w:t>
      </w:r>
      <w:r w:rsidR="00316AFC" w:rsidRPr="00316AFC">
        <w:rPr>
          <w:rFonts w:cs="Times New Roman"/>
          <w:b/>
          <w:bCs/>
          <w:sz w:val="24"/>
          <w:szCs w:val="24"/>
        </w:rPr>
        <w:t>as potential wound dressing materials</w:t>
      </w:r>
      <w:r>
        <w:rPr>
          <w:rFonts w:cs="Times New Roman"/>
          <w:b/>
          <w:bCs/>
          <w:sz w:val="24"/>
          <w:szCs w:val="24"/>
        </w:rPr>
        <w:t xml:space="preserve"> with advanced properties</w:t>
      </w:r>
    </w:p>
    <w:p w14:paraId="3CFDBEC7" w14:textId="77777777" w:rsidR="002176E8" w:rsidRPr="00DE5C4E" w:rsidRDefault="002176E8">
      <w:pPr>
        <w:jc w:val="center"/>
        <w:rPr>
          <w:sz w:val="28"/>
          <w:szCs w:val="28"/>
          <w:lang w:val="ro-RO"/>
        </w:rPr>
      </w:pPr>
    </w:p>
    <w:p w14:paraId="6D8CBF51" w14:textId="63E4C84D" w:rsidR="00DE5C4E" w:rsidRDefault="00D6047D" w:rsidP="00D6047D">
      <w:pPr>
        <w:pStyle w:val="Textoindependiente"/>
        <w:jc w:val="center"/>
        <w:rPr>
          <w:rFonts w:cs="Times New Roman"/>
          <w:sz w:val="22"/>
          <w:szCs w:val="22"/>
          <w:lang w:val="ro-RO"/>
        </w:rPr>
      </w:pPr>
      <w:r w:rsidRPr="00D6047D">
        <w:rPr>
          <w:rFonts w:cs="Times New Roman"/>
          <w:sz w:val="22"/>
          <w:szCs w:val="22"/>
          <w:u w:val="single"/>
          <w:lang w:val="ro-RO"/>
        </w:rPr>
        <w:t>María Ines Errea</w:t>
      </w:r>
      <w:r w:rsidRPr="00D6047D">
        <w:rPr>
          <w:rFonts w:cs="Times New Roman"/>
          <w:sz w:val="22"/>
          <w:szCs w:val="22"/>
          <w:u w:val="single"/>
          <w:vertAlign w:val="superscript"/>
          <w:lang w:val="ro-RO"/>
        </w:rPr>
        <w:t>a</w:t>
      </w:r>
      <w:r w:rsidRPr="00A55763">
        <w:rPr>
          <w:rFonts w:cs="Times New Roman"/>
          <w:sz w:val="22"/>
          <w:szCs w:val="22"/>
          <w:vertAlign w:val="superscript"/>
          <w:lang w:val="ro-RO"/>
        </w:rPr>
        <w:t>,c</w:t>
      </w:r>
      <w:r>
        <w:rPr>
          <w:rFonts w:cs="Times New Roman"/>
          <w:sz w:val="22"/>
          <w:szCs w:val="22"/>
          <w:lang w:val="ro-RO"/>
        </w:rPr>
        <w:t xml:space="preserve">, </w:t>
      </w:r>
      <w:r w:rsidR="00A55763" w:rsidRPr="00A55763">
        <w:rPr>
          <w:rFonts w:cs="Times New Roman"/>
          <w:sz w:val="22"/>
          <w:szCs w:val="22"/>
          <w:lang w:val="ro-RO"/>
        </w:rPr>
        <w:t>Gabriel Lombardo</w:t>
      </w:r>
      <w:r w:rsidR="00A55763" w:rsidRPr="00A55763">
        <w:rPr>
          <w:rFonts w:cs="Times New Roman"/>
          <w:sz w:val="22"/>
          <w:szCs w:val="22"/>
          <w:vertAlign w:val="superscript"/>
          <w:lang w:val="ro-RO"/>
        </w:rPr>
        <w:t>a,b,c</w:t>
      </w:r>
      <w:r w:rsidR="00A55763">
        <w:rPr>
          <w:rFonts w:cs="Times New Roman"/>
          <w:sz w:val="22"/>
          <w:szCs w:val="22"/>
          <w:lang w:val="ro-RO"/>
        </w:rPr>
        <w:t>,</w:t>
      </w:r>
      <w:r w:rsidR="00A55763" w:rsidRPr="00A55763">
        <w:rPr>
          <w:rFonts w:cs="Times New Roman"/>
          <w:sz w:val="22"/>
          <w:szCs w:val="22"/>
          <w:lang w:val="ro-RO"/>
        </w:rPr>
        <w:t xml:space="preserve"> Bruna C. Dorm</w:t>
      </w:r>
      <w:r w:rsidR="00A55763" w:rsidRPr="00A55763">
        <w:rPr>
          <w:rFonts w:cs="Times New Roman"/>
          <w:sz w:val="22"/>
          <w:szCs w:val="22"/>
          <w:vertAlign w:val="superscript"/>
          <w:lang w:val="ro-RO"/>
        </w:rPr>
        <w:t>d</w:t>
      </w:r>
      <w:r w:rsidR="00A55763" w:rsidRPr="00A55763">
        <w:rPr>
          <w:rFonts w:cs="Times New Roman"/>
          <w:sz w:val="22"/>
          <w:szCs w:val="22"/>
          <w:lang w:val="ro-RO"/>
        </w:rPr>
        <w:t>, Andrés G. Salvay</w:t>
      </w:r>
      <w:r w:rsidR="00A55763" w:rsidRPr="00A55763">
        <w:rPr>
          <w:rFonts w:cs="Times New Roman"/>
          <w:sz w:val="22"/>
          <w:szCs w:val="22"/>
          <w:vertAlign w:val="superscript"/>
          <w:lang w:val="ro-RO"/>
        </w:rPr>
        <w:t>e</w:t>
      </w:r>
      <w:r w:rsidR="00A55763" w:rsidRPr="00A55763">
        <w:rPr>
          <w:rFonts w:cs="Times New Roman"/>
          <w:sz w:val="22"/>
          <w:szCs w:val="22"/>
          <w:lang w:val="ro-RO"/>
        </w:rPr>
        <w:t>, Eliane Trovatti</w:t>
      </w:r>
      <w:r w:rsidR="00A55763" w:rsidRPr="00A55763">
        <w:rPr>
          <w:rFonts w:cs="Times New Roman"/>
          <w:sz w:val="22"/>
          <w:szCs w:val="22"/>
          <w:vertAlign w:val="superscript"/>
          <w:lang w:val="ro-RO"/>
        </w:rPr>
        <w:t>d</w:t>
      </w:r>
      <w:r w:rsidR="00A55763" w:rsidRPr="00A55763">
        <w:rPr>
          <w:rFonts w:cs="Times New Roman"/>
          <w:sz w:val="22"/>
          <w:szCs w:val="22"/>
          <w:lang w:val="ro-RO"/>
        </w:rPr>
        <w:t>, Ezequiel Rossi</w:t>
      </w:r>
      <w:r w:rsidR="00A55763" w:rsidRPr="00A55763">
        <w:rPr>
          <w:rFonts w:cs="Times New Roman"/>
          <w:sz w:val="22"/>
          <w:szCs w:val="22"/>
          <w:vertAlign w:val="superscript"/>
          <w:lang w:val="ro-RO"/>
        </w:rPr>
        <w:t>a,c</w:t>
      </w:r>
    </w:p>
    <w:p w14:paraId="4B947D43" w14:textId="77777777" w:rsidR="007B28F3" w:rsidRPr="007B28F3" w:rsidRDefault="007B28F3" w:rsidP="009C3A0B">
      <w:pPr>
        <w:pStyle w:val="Textoindependiente"/>
        <w:jc w:val="center"/>
        <w:rPr>
          <w:rFonts w:cs="Times New Roman"/>
          <w:sz w:val="22"/>
          <w:szCs w:val="22"/>
          <w:lang w:val="es-AR"/>
        </w:rPr>
      </w:pPr>
    </w:p>
    <w:p w14:paraId="1A96507A" w14:textId="77777777" w:rsidR="007B28F3" w:rsidRPr="007B28F3" w:rsidRDefault="007B28F3" w:rsidP="007B28F3">
      <w:pPr>
        <w:pStyle w:val="Textoindependiente"/>
        <w:jc w:val="center"/>
        <w:rPr>
          <w:rFonts w:cs="Times New Roman"/>
          <w:i/>
          <w:iCs/>
          <w:sz w:val="22"/>
          <w:szCs w:val="22"/>
          <w:lang w:val="es-AR"/>
        </w:rPr>
      </w:pPr>
      <w:r w:rsidRPr="007B28F3">
        <w:rPr>
          <w:rFonts w:cs="Times New Roman"/>
          <w:i/>
          <w:iCs/>
          <w:sz w:val="22"/>
          <w:szCs w:val="22"/>
          <w:vertAlign w:val="superscript"/>
          <w:lang w:val="es-AR"/>
        </w:rPr>
        <w:t>a</w:t>
      </w:r>
      <w:r w:rsidRPr="007B28F3">
        <w:rPr>
          <w:rFonts w:cs="Times New Roman"/>
          <w:i/>
          <w:iCs/>
          <w:sz w:val="22"/>
          <w:szCs w:val="22"/>
          <w:lang w:val="es-AR"/>
        </w:rPr>
        <w:t xml:space="preserve"> Instituto Tecnológico de Buenos Aires (ITBA), CABA (1437), Argentina.</w:t>
      </w:r>
    </w:p>
    <w:p w14:paraId="139A29B2" w14:textId="77777777" w:rsidR="007B28F3" w:rsidRPr="007B28F3" w:rsidRDefault="007B28F3" w:rsidP="007B28F3">
      <w:pPr>
        <w:pStyle w:val="Textoindependiente"/>
        <w:jc w:val="center"/>
        <w:rPr>
          <w:rFonts w:cs="Times New Roman"/>
          <w:i/>
          <w:iCs/>
          <w:sz w:val="22"/>
          <w:szCs w:val="22"/>
          <w:lang w:val="es-AR"/>
        </w:rPr>
      </w:pPr>
      <w:r w:rsidRPr="007B28F3">
        <w:rPr>
          <w:rFonts w:cs="Times New Roman"/>
          <w:i/>
          <w:iCs/>
          <w:sz w:val="22"/>
          <w:szCs w:val="22"/>
          <w:vertAlign w:val="superscript"/>
          <w:lang w:val="es-AR"/>
        </w:rPr>
        <w:t>b</w:t>
      </w:r>
      <w:r w:rsidRPr="007B28F3">
        <w:rPr>
          <w:rFonts w:cs="Times New Roman"/>
          <w:i/>
          <w:iCs/>
          <w:sz w:val="22"/>
          <w:szCs w:val="22"/>
          <w:lang w:val="es-AR"/>
        </w:rPr>
        <w:t xml:space="preserve"> YPF Tecnología S.A., Berisso (1923), Argentina</w:t>
      </w:r>
    </w:p>
    <w:p w14:paraId="1C3E4F2F" w14:textId="77777777" w:rsidR="007B28F3" w:rsidRPr="007B28F3" w:rsidRDefault="007B28F3" w:rsidP="007B28F3">
      <w:pPr>
        <w:pStyle w:val="Textoindependiente"/>
        <w:jc w:val="center"/>
        <w:rPr>
          <w:rFonts w:cs="Times New Roman"/>
          <w:i/>
          <w:iCs/>
          <w:sz w:val="22"/>
          <w:szCs w:val="22"/>
          <w:lang w:val="es-AR"/>
        </w:rPr>
      </w:pPr>
      <w:r w:rsidRPr="007B28F3">
        <w:rPr>
          <w:rFonts w:cs="Times New Roman"/>
          <w:i/>
          <w:iCs/>
          <w:sz w:val="22"/>
          <w:szCs w:val="22"/>
          <w:vertAlign w:val="superscript"/>
          <w:lang w:val="es-AR"/>
        </w:rPr>
        <w:t>c</w:t>
      </w:r>
      <w:r w:rsidRPr="007B28F3">
        <w:rPr>
          <w:rFonts w:cs="Times New Roman"/>
          <w:i/>
          <w:iCs/>
          <w:sz w:val="22"/>
          <w:szCs w:val="22"/>
          <w:lang w:val="es-AR"/>
        </w:rPr>
        <w:t xml:space="preserve"> Consejo Nacional de Investigaciones Científicas y Técnicas (CONICET), Argentina</w:t>
      </w:r>
    </w:p>
    <w:p w14:paraId="1D70766C" w14:textId="77777777" w:rsidR="007B28F3" w:rsidRPr="007B28F3" w:rsidRDefault="007B28F3" w:rsidP="007B28F3">
      <w:pPr>
        <w:pStyle w:val="Textoindependiente"/>
        <w:jc w:val="center"/>
        <w:rPr>
          <w:rFonts w:cs="Times New Roman"/>
          <w:i/>
          <w:iCs/>
          <w:sz w:val="22"/>
          <w:szCs w:val="22"/>
          <w:lang w:val="es-AR"/>
        </w:rPr>
      </w:pPr>
      <w:r w:rsidRPr="007B28F3">
        <w:rPr>
          <w:rFonts w:cs="Times New Roman"/>
          <w:i/>
          <w:iCs/>
          <w:sz w:val="22"/>
          <w:szCs w:val="22"/>
          <w:vertAlign w:val="superscript"/>
          <w:lang w:val="es-AR"/>
        </w:rPr>
        <w:t>d</w:t>
      </w:r>
      <w:r w:rsidRPr="007B28F3">
        <w:rPr>
          <w:rFonts w:cs="Times New Roman"/>
          <w:i/>
          <w:iCs/>
          <w:sz w:val="22"/>
          <w:szCs w:val="22"/>
          <w:lang w:val="es-AR"/>
        </w:rPr>
        <w:t xml:space="preserve"> Universidad de Araraquara – UNIARA, Araraquara (14801-340), Brasil</w:t>
      </w:r>
    </w:p>
    <w:p w14:paraId="7E7BD77C" w14:textId="70AD9EBB" w:rsidR="007B28F3" w:rsidRPr="007B28F3" w:rsidRDefault="007B28F3" w:rsidP="007B28F3">
      <w:pPr>
        <w:pStyle w:val="Textoindependiente"/>
        <w:jc w:val="center"/>
        <w:rPr>
          <w:rFonts w:cs="Times New Roman"/>
          <w:i/>
          <w:iCs/>
          <w:sz w:val="22"/>
          <w:szCs w:val="22"/>
          <w:lang w:val="es-AR"/>
        </w:rPr>
      </w:pPr>
      <w:proofErr w:type="spellStart"/>
      <w:r w:rsidRPr="007B28F3">
        <w:rPr>
          <w:rFonts w:cs="Times New Roman"/>
          <w:i/>
          <w:iCs/>
          <w:sz w:val="22"/>
          <w:szCs w:val="22"/>
          <w:vertAlign w:val="superscript"/>
          <w:lang w:val="es-AR"/>
        </w:rPr>
        <w:t>e</w:t>
      </w:r>
      <w:proofErr w:type="spellEnd"/>
      <w:r w:rsidRPr="007B28F3">
        <w:rPr>
          <w:rFonts w:cs="Times New Roman"/>
          <w:i/>
          <w:iCs/>
          <w:sz w:val="22"/>
          <w:szCs w:val="22"/>
          <w:lang w:val="es-AR"/>
        </w:rPr>
        <w:t xml:space="preserve"> Universidad Nacional de Quilmes, Dpto</w:t>
      </w:r>
      <w:r w:rsidR="00B751B9">
        <w:rPr>
          <w:rFonts w:cs="Times New Roman"/>
          <w:i/>
          <w:iCs/>
          <w:sz w:val="22"/>
          <w:szCs w:val="22"/>
          <w:lang w:val="es-AR"/>
        </w:rPr>
        <w:t>.</w:t>
      </w:r>
      <w:r w:rsidRPr="007B28F3">
        <w:rPr>
          <w:rFonts w:cs="Times New Roman"/>
          <w:i/>
          <w:iCs/>
          <w:sz w:val="22"/>
          <w:szCs w:val="22"/>
          <w:lang w:val="es-AR"/>
        </w:rPr>
        <w:t xml:space="preserve"> de Ciencia y Tecnología, Bernal (1876), Argentina</w:t>
      </w:r>
    </w:p>
    <w:p w14:paraId="7006B079" w14:textId="77777777" w:rsidR="00824DF2" w:rsidRPr="00DE5C4E" w:rsidRDefault="009C3A0B" w:rsidP="009C3A0B">
      <w:pPr>
        <w:pStyle w:val="Textoindependiente"/>
        <w:jc w:val="center"/>
        <w:rPr>
          <w:rFonts w:cs="Times New Roman"/>
          <w:i/>
          <w:iCs/>
          <w:sz w:val="24"/>
          <w:szCs w:val="24"/>
          <w:lang w:val="ro-RO"/>
        </w:rPr>
      </w:pPr>
      <w:r w:rsidRPr="0069405B">
        <w:rPr>
          <w:rFonts w:cs="Times New Roman"/>
          <w:i/>
          <w:iCs/>
          <w:sz w:val="22"/>
          <w:szCs w:val="22"/>
          <w:lang w:val="ro-RO"/>
        </w:rPr>
        <w:t>Email:</w:t>
      </w:r>
      <w:r w:rsidR="00D612B4" w:rsidRPr="0069405B">
        <w:rPr>
          <w:rFonts w:cs="Times New Roman"/>
          <w:i/>
          <w:iCs/>
          <w:sz w:val="22"/>
          <w:szCs w:val="22"/>
          <w:lang w:val="ro-RO"/>
        </w:rPr>
        <w:t xml:space="preserve"> </w:t>
      </w:r>
      <w:hyperlink r:id="rId7" w:history="1">
        <w:r w:rsidR="007B28F3" w:rsidRPr="00C56D2F">
          <w:rPr>
            <w:rStyle w:val="Hipervnculo"/>
            <w:rFonts w:cs="Times New Roman"/>
            <w:i/>
            <w:iCs/>
            <w:sz w:val="22"/>
            <w:szCs w:val="22"/>
            <w:lang w:val="ro-RO"/>
          </w:rPr>
          <w:t>merrea@itba.edu.ar</w:t>
        </w:r>
      </w:hyperlink>
    </w:p>
    <w:p w14:paraId="4BACF8AF" w14:textId="77777777" w:rsidR="005A22A3" w:rsidRPr="00DE5C4E" w:rsidRDefault="005A22A3" w:rsidP="00EE3EAC">
      <w:pPr>
        <w:pStyle w:val="Textoindependiente"/>
        <w:rPr>
          <w:rFonts w:cs="Times New Roman"/>
          <w:i/>
          <w:iCs/>
          <w:sz w:val="24"/>
          <w:szCs w:val="24"/>
          <w:lang w:val="ro-RO"/>
        </w:rPr>
      </w:pPr>
    </w:p>
    <w:p w14:paraId="45CD2C9D" w14:textId="66538D13" w:rsidR="00316AFC" w:rsidRPr="00B751B9" w:rsidRDefault="00D05F8E" w:rsidP="00D612B4">
      <w:pPr>
        <w:jc w:val="both"/>
        <w:rPr>
          <w:rFonts w:cs="Times New Roman"/>
          <w:sz w:val="22"/>
          <w:szCs w:val="22"/>
        </w:rPr>
      </w:pPr>
      <w:r w:rsidRPr="00B751B9">
        <w:rPr>
          <w:rFonts w:cs="Times New Roman"/>
          <w:sz w:val="22"/>
          <w:szCs w:val="22"/>
        </w:rPr>
        <w:t xml:space="preserve">Chitosan is a </w:t>
      </w:r>
      <w:r w:rsidR="00B751B9" w:rsidRPr="00B751B9">
        <w:rPr>
          <w:rFonts w:cs="Times New Roman"/>
          <w:sz w:val="22"/>
          <w:szCs w:val="22"/>
        </w:rPr>
        <w:t>polysaccharide</w:t>
      </w:r>
      <w:r w:rsidRPr="00B751B9">
        <w:rPr>
          <w:rFonts w:cs="Times New Roman"/>
          <w:sz w:val="22"/>
          <w:szCs w:val="22"/>
        </w:rPr>
        <w:t xml:space="preserve"> derived from</w:t>
      </w:r>
      <w:r w:rsidR="00335008" w:rsidRPr="00B751B9">
        <w:rPr>
          <w:rFonts w:cs="Times New Roman"/>
          <w:sz w:val="22"/>
          <w:szCs w:val="22"/>
        </w:rPr>
        <w:t xml:space="preserve"> the partial deacetylation of</w:t>
      </w:r>
      <w:r w:rsidRPr="00B751B9">
        <w:rPr>
          <w:rFonts w:cs="Times New Roman"/>
          <w:sz w:val="22"/>
          <w:szCs w:val="22"/>
        </w:rPr>
        <w:t xml:space="preserve"> natural chitin, the second most abundant natural polymer </w:t>
      </w:r>
      <w:r w:rsidR="00F51FAD" w:rsidRPr="00B751B9">
        <w:rPr>
          <w:rFonts w:cs="Times New Roman"/>
          <w:sz w:val="22"/>
          <w:szCs w:val="22"/>
        </w:rPr>
        <w:t>globally</w:t>
      </w:r>
      <w:r w:rsidRPr="00B751B9">
        <w:rPr>
          <w:rFonts w:cs="Times New Roman"/>
          <w:sz w:val="22"/>
          <w:szCs w:val="22"/>
        </w:rPr>
        <w:t xml:space="preserve">. </w:t>
      </w:r>
      <w:r w:rsidR="00F51FAD" w:rsidRPr="00B751B9">
        <w:rPr>
          <w:rFonts w:cs="Times New Roman"/>
          <w:sz w:val="22"/>
          <w:szCs w:val="22"/>
        </w:rPr>
        <w:t>It</w:t>
      </w:r>
      <w:r w:rsidR="00227C0C" w:rsidRPr="00B751B9">
        <w:rPr>
          <w:rFonts w:cs="Times New Roman"/>
          <w:sz w:val="22"/>
          <w:szCs w:val="22"/>
        </w:rPr>
        <w:t xml:space="preserve"> is </w:t>
      </w:r>
      <w:r w:rsidR="00EE3EAC" w:rsidRPr="00B751B9">
        <w:rPr>
          <w:rFonts w:cs="Times New Roman"/>
          <w:sz w:val="22"/>
          <w:szCs w:val="22"/>
        </w:rPr>
        <w:t xml:space="preserve">a </w:t>
      </w:r>
      <w:r w:rsidR="00B67475" w:rsidRPr="00B751B9">
        <w:rPr>
          <w:rFonts w:cs="Times New Roman"/>
          <w:sz w:val="22"/>
          <w:szCs w:val="22"/>
        </w:rPr>
        <w:t xml:space="preserve">cost-effective </w:t>
      </w:r>
      <w:r w:rsidR="00227C0C" w:rsidRPr="00B751B9">
        <w:rPr>
          <w:rFonts w:cs="Times New Roman"/>
          <w:sz w:val="22"/>
          <w:szCs w:val="22"/>
        </w:rPr>
        <w:t>raw material</w:t>
      </w:r>
      <w:r w:rsidR="00F51FAD" w:rsidRPr="00B751B9">
        <w:rPr>
          <w:rFonts w:cs="Times New Roman"/>
          <w:sz w:val="22"/>
          <w:szCs w:val="22"/>
        </w:rPr>
        <w:t>,</w:t>
      </w:r>
      <w:r w:rsidR="00227C0C" w:rsidRPr="00B751B9">
        <w:rPr>
          <w:rFonts w:cs="Times New Roman"/>
          <w:sz w:val="22"/>
          <w:szCs w:val="22"/>
        </w:rPr>
        <w:t xml:space="preserve"> as it is sourced from the waste of the fishing industry</w:t>
      </w:r>
      <w:r w:rsidR="00335008" w:rsidRPr="00B751B9">
        <w:rPr>
          <w:rFonts w:cs="Times New Roman"/>
          <w:sz w:val="22"/>
          <w:szCs w:val="22"/>
        </w:rPr>
        <w:t xml:space="preserve">. </w:t>
      </w:r>
      <w:r w:rsidR="002A70BC" w:rsidRPr="00B751B9">
        <w:rPr>
          <w:rFonts w:cs="Times New Roman"/>
          <w:sz w:val="22"/>
          <w:szCs w:val="22"/>
        </w:rPr>
        <w:t>Due to its well-established biocompatibility, chitosan is considered an ideal candidate for a wide range of biomedical applications.</w:t>
      </w:r>
      <w:r w:rsidR="008F18AA" w:rsidRPr="00B751B9">
        <w:rPr>
          <w:rFonts w:cs="Times New Roman"/>
          <w:sz w:val="22"/>
          <w:szCs w:val="22"/>
        </w:rPr>
        <w:t xml:space="preserve"> </w:t>
      </w:r>
      <w:r w:rsidR="002A70BC" w:rsidRPr="00B751B9">
        <w:rPr>
          <w:rFonts w:cs="Times New Roman"/>
          <w:sz w:val="22"/>
          <w:szCs w:val="22"/>
        </w:rPr>
        <w:t xml:space="preserve">Among these, its application as a wound dressing stands out, due to its inherent angiogenic, </w:t>
      </w:r>
      <w:proofErr w:type="spellStart"/>
      <w:r w:rsidR="002A70BC" w:rsidRPr="00B751B9">
        <w:rPr>
          <w:rFonts w:cs="Times New Roman"/>
          <w:sz w:val="22"/>
          <w:szCs w:val="22"/>
        </w:rPr>
        <w:t>angiostatic</w:t>
      </w:r>
      <w:proofErr w:type="spellEnd"/>
      <w:r w:rsidR="002A70BC" w:rsidRPr="00B751B9">
        <w:rPr>
          <w:rFonts w:cs="Times New Roman"/>
          <w:sz w:val="22"/>
          <w:szCs w:val="22"/>
        </w:rPr>
        <w:t xml:space="preserve">, and antimicrobial properties. </w:t>
      </w:r>
      <w:r w:rsidR="00E4300E" w:rsidRPr="00B751B9">
        <w:rPr>
          <w:rFonts w:cs="Times New Roman"/>
          <w:sz w:val="22"/>
          <w:szCs w:val="22"/>
        </w:rPr>
        <w:t xml:space="preserve">On the other hand, various </w:t>
      </w:r>
      <w:r w:rsidR="00B751B9">
        <w:rPr>
          <w:sz w:val="22"/>
          <w:szCs w:val="22"/>
        </w:rPr>
        <w:t>α</w:t>
      </w:r>
      <w:r w:rsidR="00E4300E" w:rsidRPr="00B751B9">
        <w:rPr>
          <w:rFonts w:cs="Times New Roman"/>
          <w:sz w:val="22"/>
          <w:szCs w:val="22"/>
        </w:rPr>
        <w:t>-amino acids have been reported to have specific benefits for traumatic wound healing.</w:t>
      </w:r>
    </w:p>
    <w:p w14:paraId="77758359" w14:textId="580D155D" w:rsidR="001C2E04" w:rsidRPr="00B751B9" w:rsidRDefault="00E4300E" w:rsidP="001C2E04">
      <w:pPr>
        <w:jc w:val="both"/>
        <w:rPr>
          <w:rFonts w:cs="Times New Roman"/>
          <w:sz w:val="22"/>
          <w:szCs w:val="22"/>
        </w:rPr>
      </w:pPr>
      <w:r w:rsidRPr="00B751B9">
        <w:rPr>
          <w:rFonts w:cs="Times New Roman"/>
          <w:sz w:val="22"/>
          <w:szCs w:val="22"/>
        </w:rPr>
        <w:t xml:space="preserve">In this context, four natural α-amino acids: glycine, L-arginine, L-glutamic acid, and L-cysteine, were grafted onto native chitosan (DA = 30%) through amide bonds formed between the amino groups of chitosan and the carboxyl groups of the amino acids, activated by EDC. </w:t>
      </w:r>
      <w:r w:rsidR="001C2E04" w:rsidRPr="00B751B9">
        <w:rPr>
          <w:rFonts w:cs="Times New Roman"/>
          <w:sz w:val="22"/>
          <w:szCs w:val="22"/>
        </w:rPr>
        <w:t>Besides, g</w:t>
      </w:r>
      <w:r w:rsidR="00983B75" w:rsidRPr="00B751B9">
        <w:rPr>
          <w:rFonts w:cs="Times New Roman"/>
          <w:sz w:val="22"/>
          <w:szCs w:val="22"/>
        </w:rPr>
        <w:t xml:space="preserve">iven that the most common and unavoidable challenge for wound healing materials is the prevention and control of bacterial infections, and considering the recognized antimicrobial activity of quaternary ammonium salts, the amino acid-grafted </w:t>
      </w:r>
      <w:proofErr w:type="spellStart"/>
      <w:r w:rsidR="00983B75" w:rsidRPr="00B751B9">
        <w:rPr>
          <w:rFonts w:cs="Times New Roman"/>
          <w:sz w:val="22"/>
          <w:szCs w:val="22"/>
        </w:rPr>
        <w:t>chitosans</w:t>
      </w:r>
      <w:proofErr w:type="spellEnd"/>
      <w:r w:rsidR="00983B75" w:rsidRPr="00B751B9">
        <w:rPr>
          <w:rFonts w:cs="Times New Roman"/>
          <w:sz w:val="22"/>
          <w:szCs w:val="22"/>
        </w:rPr>
        <w:t xml:space="preserve"> were subsequently permethylated, resulting in four novel derivative</w:t>
      </w:r>
      <w:r w:rsidR="001C2E04" w:rsidRPr="00B751B9">
        <w:rPr>
          <w:rFonts w:cs="Times New Roman"/>
          <w:sz w:val="22"/>
          <w:szCs w:val="22"/>
        </w:rPr>
        <w:t>s</w:t>
      </w:r>
      <w:r w:rsidR="00985D11" w:rsidRPr="00B751B9">
        <w:rPr>
          <w:rFonts w:cs="Times New Roman"/>
          <w:sz w:val="22"/>
          <w:szCs w:val="22"/>
        </w:rPr>
        <w:t xml:space="preserve">, which were chemically characterized by </w:t>
      </w:r>
      <w:r w:rsidR="00985D11" w:rsidRPr="00B751B9">
        <w:rPr>
          <w:rFonts w:cs="Times New Roman"/>
          <w:i/>
          <w:iCs/>
          <w:sz w:val="22"/>
          <w:szCs w:val="22"/>
        </w:rPr>
        <w:t>FT</w:t>
      </w:r>
      <w:r w:rsidR="00985D11" w:rsidRPr="00B751B9">
        <w:rPr>
          <w:rFonts w:cs="Times New Roman"/>
          <w:sz w:val="22"/>
          <w:szCs w:val="22"/>
        </w:rPr>
        <w:t xml:space="preserve">-IR, conductometric titration, Z-potential, TGA and </w:t>
      </w:r>
      <w:r w:rsidR="00985D11" w:rsidRPr="00B751B9">
        <w:rPr>
          <w:rFonts w:cs="Times New Roman"/>
          <w:sz w:val="22"/>
          <w:szCs w:val="22"/>
          <w:vertAlign w:val="superscript"/>
        </w:rPr>
        <w:t>1</w:t>
      </w:r>
      <w:r w:rsidR="00985D11" w:rsidRPr="00B751B9">
        <w:rPr>
          <w:rFonts w:cs="Times New Roman"/>
          <w:sz w:val="22"/>
          <w:szCs w:val="22"/>
        </w:rPr>
        <w:t>H-NMR. The thiol group content of the cysteine-grafted chitosan was asses</w:t>
      </w:r>
      <w:r w:rsidR="00B751B9">
        <w:rPr>
          <w:rFonts w:cs="Times New Roman"/>
          <w:sz w:val="22"/>
          <w:szCs w:val="22"/>
        </w:rPr>
        <w:t>s</w:t>
      </w:r>
      <w:r w:rsidR="00985D11" w:rsidRPr="00B751B9">
        <w:rPr>
          <w:rFonts w:cs="Times New Roman"/>
          <w:sz w:val="22"/>
          <w:szCs w:val="22"/>
        </w:rPr>
        <w:t xml:space="preserve">ed by Ellman’s test [1]. Antibacterial studies against </w:t>
      </w:r>
      <w:r w:rsidR="00985D11" w:rsidRPr="00B751B9">
        <w:rPr>
          <w:rFonts w:cs="Times New Roman"/>
          <w:i/>
          <w:iCs/>
          <w:sz w:val="22"/>
          <w:szCs w:val="22"/>
        </w:rPr>
        <w:t>Staphylococcus aureus</w:t>
      </w:r>
      <w:r w:rsidR="00985D11" w:rsidRPr="00B751B9">
        <w:rPr>
          <w:rFonts w:cs="Times New Roman"/>
          <w:sz w:val="22"/>
          <w:szCs w:val="22"/>
        </w:rPr>
        <w:t xml:space="preserve"> (Gram +) and </w:t>
      </w:r>
      <w:r w:rsidR="00985D11" w:rsidRPr="00B751B9">
        <w:rPr>
          <w:rFonts w:cs="Times New Roman"/>
          <w:i/>
          <w:iCs/>
          <w:sz w:val="22"/>
          <w:szCs w:val="22"/>
        </w:rPr>
        <w:t>Esch</w:t>
      </w:r>
      <w:r w:rsidR="00B751B9" w:rsidRPr="00B751B9">
        <w:rPr>
          <w:rFonts w:cs="Times New Roman"/>
          <w:i/>
          <w:iCs/>
          <w:sz w:val="22"/>
          <w:szCs w:val="22"/>
        </w:rPr>
        <w:t>er</w:t>
      </w:r>
      <w:r w:rsidR="00985D11" w:rsidRPr="00B751B9">
        <w:rPr>
          <w:rFonts w:cs="Times New Roman"/>
          <w:i/>
          <w:iCs/>
          <w:sz w:val="22"/>
          <w:szCs w:val="22"/>
        </w:rPr>
        <w:t>i</w:t>
      </w:r>
      <w:r w:rsidR="00B751B9" w:rsidRPr="00B751B9">
        <w:rPr>
          <w:rFonts w:cs="Times New Roman"/>
          <w:i/>
          <w:iCs/>
          <w:sz w:val="22"/>
          <w:szCs w:val="22"/>
        </w:rPr>
        <w:t>ch</w:t>
      </w:r>
      <w:r w:rsidR="00985D11" w:rsidRPr="00B751B9">
        <w:rPr>
          <w:rFonts w:cs="Times New Roman"/>
          <w:i/>
          <w:iCs/>
          <w:sz w:val="22"/>
          <w:szCs w:val="22"/>
        </w:rPr>
        <w:t>ia coli</w:t>
      </w:r>
      <w:r w:rsidR="00985D11" w:rsidRPr="00B751B9">
        <w:rPr>
          <w:rFonts w:cs="Times New Roman"/>
          <w:sz w:val="22"/>
          <w:szCs w:val="22"/>
        </w:rPr>
        <w:t xml:space="preserve"> (Gram -) were also carried out [2].</w:t>
      </w:r>
    </w:p>
    <w:p w14:paraId="259CBC17" w14:textId="5F9B5916" w:rsidR="00985D11" w:rsidRPr="00B751B9" w:rsidRDefault="001C2E04" w:rsidP="001C2E04">
      <w:pPr>
        <w:jc w:val="both"/>
        <w:rPr>
          <w:rFonts w:cs="Times New Roman"/>
          <w:sz w:val="22"/>
          <w:szCs w:val="22"/>
        </w:rPr>
      </w:pPr>
      <w:r w:rsidRPr="00B751B9">
        <w:rPr>
          <w:rFonts w:cs="Times New Roman"/>
          <w:sz w:val="22"/>
          <w:szCs w:val="22"/>
        </w:rPr>
        <w:t xml:space="preserve">All the </w:t>
      </w:r>
      <w:r w:rsidR="00D32B81" w:rsidRPr="00B751B9">
        <w:rPr>
          <w:rFonts w:cs="Times New Roman"/>
          <w:sz w:val="22"/>
          <w:szCs w:val="22"/>
        </w:rPr>
        <w:t xml:space="preserve">permethylated </w:t>
      </w:r>
      <w:r w:rsidRPr="00B751B9">
        <w:rPr>
          <w:rFonts w:cs="Times New Roman"/>
          <w:sz w:val="22"/>
          <w:szCs w:val="22"/>
        </w:rPr>
        <w:t>products were transparent hydrogels insoluble in water in the whole range of pH, with fixed positive charges.</w:t>
      </w:r>
      <w:r w:rsidR="00985D11" w:rsidRPr="00B751B9">
        <w:rPr>
          <w:rFonts w:cs="Times New Roman"/>
          <w:sz w:val="22"/>
          <w:szCs w:val="22"/>
        </w:rPr>
        <w:t xml:space="preserve"> The viscoelastic properties of the materials were assessed by oscillatory rheological experiments. Besides, swelling studies were also performed. The swelling kinetics of the materials was remarkably fast, reaching equilibrium in less than a minute. </w:t>
      </w:r>
      <w:r w:rsidRPr="00B751B9">
        <w:rPr>
          <w:rFonts w:cs="Times New Roman"/>
          <w:sz w:val="22"/>
          <w:szCs w:val="22"/>
        </w:rPr>
        <w:t xml:space="preserve">They all had the following remarkable characteristics: </w:t>
      </w:r>
      <w:proofErr w:type="spellStart"/>
      <w:r w:rsidRPr="00B751B9">
        <w:rPr>
          <w:rFonts w:cs="Times New Roman"/>
          <w:sz w:val="22"/>
          <w:szCs w:val="22"/>
        </w:rPr>
        <w:t>i</w:t>
      </w:r>
      <w:proofErr w:type="spellEnd"/>
      <w:r w:rsidRPr="00B751B9">
        <w:rPr>
          <w:rFonts w:cs="Times New Roman"/>
          <w:sz w:val="22"/>
          <w:szCs w:val="22"/>
        </w:rPr>
        <w:t xml:space="preserve">) high-water absorption capacity </w:t>
      </w:r>
      <w:r w:rsidR="00985D11" w:rsidRPr="00B751B9">
        <w:rPr>
          <w:rFonts w:cs="Times New Roman"/>
          <w:sz w:val="22"/>
          <w:szCs w:val="22"/>
        </w:rPr>
        <w:t>(32-44 g H</w:t>
      </w:r>
      <w:r w:rsidR="00985D11" w:rsidRPr="00B751B9">
        <w:rPr>
          <w:rFonts w:cs="Times New Roman"/>
          <w:sz w:val="22"/>
          <w:szCs w:val="22"/>
          <w:vertAlign w:val="subscript"/>
        </w:rPr>
        <w:t>2</w:t>
      </w:r>
      <w:r w:rsidR="00985D11" w:rsidRPr="00B751B9">
        <w:rPr>
          <w:rFonts w:cs="Times New Roman"/>
          <w:sz w:val="22"/>
          <w:szCs w:val="22"/>
        </w:rPr>
        <w:t>O per g of polymer)</w:t>
      </w:r>
      <w:r w:rsidRPr="00B751B9">
        <w:rPr>
          <w:rFonts w:cs="Times New Roman"/>
          <w:sz w:val="22"/>
          <w:szCs w:val="22"/>
        </w:rPr>
        <w:t xml:space="preserve">, ii) viscoelastic behavior at low deformations, iii) flexibility when subjected to deformations and iv) stability over long time scales. </w:t>
      </w:r>
    </w:p>
    <w:p w14:paraId="08E8767B" w14:textId="72E6E3A9" w:rsidR="001C2E04" w:rsidRPr="00B751B9" w:rsidRDefault="00320B73" w:rsidP="001C2E04">
      <w:pPr>
        <w:jc w:val="both"/>
        <w:rPr>
          <w:rFonts w:cs="Times New Roman"/>
          <w:sz w:val="22"/>
          <w:szCs w:val="22"/>
        </w:rPr>
      </w:pPr>
      <w:r>
        <w:rPr>
          <w:rFonts w:cs="Times New Roman"/>
          <w:sz w:val="22"/>
          <w:szCs w:val="22"/>
        </w:rPr>
        <w:t>A</w:t>
      </w:r>
      <w:r w:rsidR="001C2E04" w:rsidRPr="00B751B9">
        <w:rPr>
          <w:rFonts w:cs="Times New Roman"/>
          <w:sz w:val="22"/>
          <w:szCs w:val="22"/>
        </w:rPr>
        <w:t xml:space="preserve">ll the permethylated derivatives successfully inhibited 100% of the growth of </w:t>
      </w:r>
      <w:r w:rsidR="001C2E04" w:rsidRPr="00B751B9">
        <w:rPr>
          <w:rFonts w:cs="Times New Roman"/>
          <w:i/>
          <w:iCs/>
          <w:sz w:val="22"/>
          <w:szCs w:val="22"/>
        </w:rPr>
        <w:t>S. aureus</w:t>
      </w:r>
      <w:r w:rsidR="001C2E04" w:rsidRPr="00B751B9">
        <w:rPr>
          <w:rFonts w:cs="Times New Roman"/>
          <w:sz w:val="22"/>
          <w:szCs w:val="22"/>
        </w:rPr>
        <w:t xml:space="preserve">, one of the bacteria </w:t>
      </w:r>
      <w:r w:rsidR="00985D11" w:rsidRPr="00B751B9">
        <w:rPr>
          <w:rFonts w:cs="Times New Roman"/>
          <w:sz w:val="22"/>
          <w:szCs w:val="22"/>
        </w:rPr>
        <w:t xml:space="preserve">that </w:t>
      </w:r>
      <w:r w:rsidR="001C2E04" w:rsidRPr="00B751B9">
        <w:rPr>
          <w:rFonts w:cs="Times New Roman"/>
          <w:sz w:val="22"/>
          <w:szCs w:val="22"/>
        </w:rPr>
        <w:t xml:space="preserve">most frequently causes complications from skin wound infections. Moreover, they also exhibited higher antimicrobial activity against </w:t>
      </w:r>
      <w:r w:rsidR="001C2E04" w:rsidRPr="00B751B9">
        <w:rPr>
          <w:rFonts w:cs="Times New Roman"/>
          <w:i/>
          <w:iCs/>
          <w:sz w:val="22"/>
          <w:szCs w:val="22"/>
        </w:rPr>
        <w:t>E. coli</w:t>
      </w:r>
      <w:r w:rsidR="001C2E04" w:rsidRPr="00B751B9">
        <w:rPr>
          <w:rFonts w:cs="Times New Roman"/>
          <w:sz w:val="22"/>
          <w:szCs w:val="22"/>
        </w:rPr>
        <w:t xml:space="preserve"> compared to native chitos</w:t>
      </w:r>
      <w:r w:rsidR="00B751B9">
        <w:rPr>
          <w:rFonts w:cs="Times New Roman"/>
          <w:sz w:val="22"/>
          <w:szCs w:val="22"/>
        </w:rPr>
        <w:t>an</w:t>
      </w:r>
      <w:r w:rsidR="001C2E04" w:rsidRPr="00B751B9">
        <w:rPr>
          <w:rFonts w:cs="Times New Roman"/>
          <w:sz w:val="22"/>
          <w:szCs w:val="22"/>
        </w:rPr>
        <w:t>.</w:t>
      </w:r>
    </w:p>
    <w:p w14:paraId="59160208" w14:textId="77777777" w:rsidR="001C2E04" w:rsidRPr="00B751B9" w:rsidRDefault="001C2E04" w:rsidP="00D612B4">
      <w:pPr>
        <w:jc w:val="both"/>
        <w:rPr>
          <w:rFonts w:cs="Times New Roman"/>
          <w:sz w:val="22"/>
          <w:szCs w:val="22"/>
        </w:rPr>
      </w:pPr>
    </w:p>
    <w:p w14:paraId="3C58D355" w14:textId="77777777" w:rsidR="00985D11" w:rsidRPr="00B751B9" w:rsidRDefault="00985D11" w:rsidP="00985D11">
      <w:pPr>
        <w:rPr>
          <w:rFonts w:cs="Times New Roman"/>
          <w:bCs/>
          <w:lang w:eastAsia="fr-FR"/>
        </w:rPr>
      </w:pPr>
      <w:proofErr w:type="spellStart"/>
      <w:r w:rsidRPr="00B751B9">
        <w:rPr>
          <w:rFonts w:cs="Times New Roman"/>
          <w:bCs/>
          <w:lang w:eastAsia="fr-FR"/>
        </w:rPr>
        <w:t>Referencias</w:t>
      </w:r>
      <w:proofErr w:type="spellEnd"/>
      <w:r w:rsidRPr="00B751B9">
        <w:rPr>
          <w:rFonts w:cs="Times New Roman"/>
          <w:bCs/>
          <w:lang w:eastAsia="fr-FR"/>
        </w:rPr>
        <w:t>:</w:t>
      </w:r>
    </w:p>
    <w:p w14:paraId="36B04955" w14:textId="77777777" w:rsidR="00985D11" w:rsidRPr="00B751B9" w:rsidRDefault="00985D11" w:rsidP="00985D11">
      <w:pPr>
        <w:rPr>
          <w:rFonts w:cs="Times New Roman"/>
          <w:bCs/>
          <w:lang w:eastAsia="fr-FR"/>
        </w:rPr>
      </w:pPr>
      <w:r w:rsidRPr="00B751B9">
        <w:rPr>
          <w:rFonts w:cs="Times New Roman"/>
          <w:bCs/>
          <w:lang w:eastAsia="fr-FR"/>
        </w:rPr>
        <w:t xml:space="preserve">[1] A.H. </w:t>
      </w:r>
      <w:proofErr w:type="spellStart"/>
      <w:r w:rsidRPr="00B751B9">
        <w:rPr>
          <w:rFonts w:cs="Times New Roman"/>
          <w:bCs/>
          <w:lang w:eastAsia="fr-FR"/>
        </w:rPr>
        <w:t>Krauland</w:t>
      </w:r>
      <w:proofErr w:type="spellEnd"/>
      <w:r w:rsidRPr="00B751B9">
        <w:rPr>
          <w:rFonts w:cs="Times New Roman"/>
          <w:bCs/>
          <w:lang w:eastAsia="fr-FR"/>
        </w:rPr>
        <w:t xml:space="preserve">, D. Guggi, A. </w:t>
      </w:r>
      <w:proofErr w:type="spellStart"/>
      <w:r w:rsidRPr="00B751B9">
        <w:rPr>
          <w:rFonts w:cs="Times New Roman"/>
          <w:bCs/>
          <w:lang w:eastAsia="fr-FR"/>
        </w:rPr>
        <w:t>Bernkop-Schnürch</w:t>
      </w:r>
      <w:proofErr w:type="spellEnd"/>
      <w:r w:rsidRPr="00B751B9">
        <w:rPr>
          <w:rFonts w:cs="Times New Roman"/>
          <w:bCs/>
          <w:lang w:eastAsia="fr-FR"/>
        </w:rPr>
        <w:t>. Journal of Controlled Release, 2004, 95(3), 547-555.</w:t>
      </w:r>
    </w:p>
    <w:p w14:paraId="4CAFF765" w14:textId="6A59120D" w:rsidR="00985D11" w:rsidRPr="00B751B9" w:rsidRDefault="00985D11">
      <w:pPr>
        <w:rPr>
          <w:rFonts w:cs="Times New Roman"/>
          <w:bCs/>
          <w:i/>
          <w:iCs/>
          <w:lang w:eastAsia="fr-FR"/>
        </w:rPr>
      </w:pPr>
      <w:r w:rsidRPr="00B751B9">
        <w:rPr>
          <w:rFonts w:cs="Times New Roman"/>
          <w:bCs/>
          <w:lang w:eastAsia="fr-FR"/>
        </w:rPr>
        <w:t>[2] ASTM, Standard Test Method for Determining the Antimicrobial Activity of Antimicrobial Agents Under Dynamic Contact Conditions, 2020.</w:t>
      </w:r>
    </w:p>
    <w:sectPr w:rsidR="00985D11" w:rsidRPr="00B751B9">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6AD90" w14:textId="77777777" w:rsidR="004B5323" w:rsidRDefault="004B5323">
      <w:r>
        <w:separator/>
      </w:r>
    </w:p>
  </w:endnote>
  <w:endnote w:type="continuationSeparator" w:id="0">
    <w:p w14:paraId="58C5FD94" w14:textId="77777777" w:rsidR="004B5323" w:rsidRDefault="004B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Noto Sans CJK SC Regular">
    <w:charset w:val="01"/>
    <w:family w:val="auto"/>
    <w:pitch w:val="variable"/>
  </w:font>
  <w:font w:name="FreeSans">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Droid Sans Fallback">
    <w:charset w:val="01"/>
    <w:family w:val="auto"/>
    <w:pitch w:val="variable"/>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E7FD" w14:textId="77777777" w:rsidR="0069405B" w:rsidRDefault="006940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BDD8" w14:textId="77777777" w:rsidR="0069405B" w:rsidRDefault="006940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6B82" w14:textId="77777777" w:rsidR="0069405B" w:rsidRDefault="006940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D3DB0" w14:textId="77777777" w:rsidR="004B5323" w:rsidRDefault="004B5323">
      <w:r>
        <w:separator/>
      </w:r>
    </w:p>
  </w:footnote>
  <w:footnote w:type="continuationSeparator" w:id="0">
    <w:p w14:paraId="63EB4949" w14:textId="77777777" w:rsidR="004B5323" w:rsidRDefault="004B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A1D12" w14:textId="77777777" w:rsidR="002176E8" w:rsidRDefault="002176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0AD39" w14:textId="71CF3C55" w:rsidR="00555F27" w:rsidRDefault="00D32B81">
    <w:pPr>
      <w:pStyle w:val="Encabezado"/>
      <w:ind w:right="360"/>
      <w:jc w:val="center"/>
      <w:rPr>
        <w:sz w:val="32"/>
        <w:lang w:val="es-ES_tradnl" w:eastAsia="es-AR"/>
      </w:rPr>
    </w:pPr>
    <w:r>
      <w:rPr>
        <w:noProof/>
      </w:rPr>
      <w:drawing>
        <wp:anchor distT="0" distB="0" distL="114300" distR="114300" simplePos="0" relativeHeight="251658240" behindDoc="0" locked="0" layoutInCell="1" allowOverlap="1" wp14:anchorId="19388239" wp14:editId="4721ABF9">
          <wp:simplePos x="0" y="0"/>
          <wp:positionH relativeFrom="column">
            <wp:posOffset>-1080135</wp:posOffset>
          </wp:positionH>
          <wp:positionV relativeFrom="paragraph">
            <wp:posOffset>-180340</wp:posOffset>
          </wp:positionV>
          <wp:extent cx="7813675" cy="137922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675"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7216" behindDoc="0" locked="0" layoutInCell="1" allowOverlap="1" wp14:anchorId="27E87B08" wp14:editId="261A57E1">
              <wp:simplePos x="0" y="0"/>
              <wp:positionH relativeFrom="page">
                <wp:posOffset>7037705</wp:posOffset>
              </wp:positionH>
              <wp:positionV relativeFrom="paragraph">
                <wp:posOffset>635</wp:posOffset>
              </wp:positionV>
              <wp:extent cx="17780" cy="136525"/>
              <wp:effectExtent l="0" t="0" r="0" b="0"/>
              <wp:wrapSquare wrapText="largest"/>
              <wp:docPr id="16075763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4AFD6" w14:textId="77777777" w:rsidR="00555F27" w:rsidRDefault="00555F27">
                          <w:pPr>
                            <w:pStyle w:val="Encabezado"/>
                          </w:pP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87B08" id="_x0000_t202" coordsize="21600,21600" o:spt="202" path="m,l,21600r21600,l21600,xe">
              <v:stroke joinstyle="miter"/>
              <v:path gradientshapeok="t" o:connecttype="rect"/>
            </v:shapetype>
            <v:shape id="Text Box 1" o:spid="_x0000_s1026" type="#_x0000_t202" style="position:absolute;left:0;text-align:left;margin-left:554.15pt;margin-top:.05pt;width:1.4pt;height:1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" stroked="f">
              <v:fill opacity="0"/>
              <v:textbox inset=".15pt,.15pt,.15pt,.15pt">
                <w:txbxContent>
                  <w:p w14:paraId="1CC4AFD6" w14:textId="77777777" w:rsidR="00555F27" w:rsidRDefault="00555F27">
                    <w:pPr>
                      <w:pStyle w:val="Encabezado"/>
                    </w:pPr>
                  </w:p>
                </w:txbxContent>
              </v:textbox>
              <w10:wrap type="square" side="largest" anchorx="page"/>
            </v:shape>
          </w:pict>
        </mc:Fallback>
      </mc:AlternateContent>
    </w:r>
  </w:p>
  <w:p w14:paraId="5A4245A3" w14:textId="77777777" w:rsidR="00555F27" w:rsidRDefault="00555F27">
    <w:pPr>
      <w:pStyle w:val="Encabezado"/>
      <w:ind w:right="360"/>
    </w:pPr>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DB99" w14:textId="77777777" w:rsidR="00555F27" w:rsidRDefault="00555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Ttulo4"/>
      <w:lvlText w:val="%1."/>
      <w:lvlJc w:val="left"/>
      <w:pPr>
        <w:tabs>
          <w:tab w:val="num" w:pos="360"/>
        </w:tabs>
        <w:ind w:left="36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33733924">
    <w:abstractNumId w:val="0"/>
  </w:num>
  <w:num w:numId="2" w16cid:durableId="48852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07803"/>
    <w:rsid w:val="00007803"/>
    <w:rsid w:val="00025324"/>
    <w:rsid w:val="00031D73"/>
    <w:rsid w:val="000A5EBC"/>
    <w:rsid w:val="000D155B"/>
    <w:rsid w:val="000D62BD"/>
    <w:rsid w:val="000E482A"/>
    <w:rsid w:val="0010408F"/>
    <w:rsid w:val="001A7CCB"/>
    <w:rsid w:val="001C2E04"/>
    <w:rsid w:val="001D72FC"/>
    <w:rsid w:val="001E6FA1"/>
    <w:rsid w:val="001F2DA9"/>
    <w:rsid w:val="002176E8"/>
    <w:rsid w:val="00227C0C"/>
    <w:rsid w:val="002A70BC"/>
    <w:rsid w:val="002F66D9"/>
    <w:rsid w:val="00311F08"/>
    <w:rsid w:val="00316AFC"/>
    <w:rsid w:val="00320B73"/>
    <w:rsid w:val="00335008"/>
    <w:rsid w:val="00353801"/>
    <w:rsid w:val="00372408"/>
    <w:rsid w:val="0039229D"/>
    <w:rsid w:val="00475736"/>
    <w:rsid w:val="004B5323"/>
    <w:rsid w:val="004D4705"/>
    <w:rsid w:val="005070D8"/>
    <w:rsid w:val="00555F27"/>
    <w:rsid w:val="00556570"/>
    <w:rsid w:val="005A22A3"/>
    <w:rsid w:val="00623CDA"/>
    <w:rsid w:val="00643166"/>
    <w:rsid w:val="0069405B"/>
    <w:rsid w:val="00697088"/>
    <w:rsid w:val="006B508D"/>
    <w:rsid w:val="006D0A95"/>
    <w:rsid w:val="006D4A17"/>
    <w:rsid w:val="007943C6"/>
    <w:rsid w:val="007B28F3"/>
    <w:rsid w:val="007B425F"/>
    <w:rsid w:val="007E19FF"/>
    <w:rsid w:val="007F510A"/>
    <w:rsid w:val="00824DF2"/>
    <w:rsid w:val="00860EE5"/>
    <w:rsid w:val="00860EF5"/>
    <w:rsid w:val="00890793"/>
    <w:rsid w:val="008E7CFA"/>
    <w:rsid w:val="008F18AA"/>
    <w:rsid w:val="00983B75"/>
    <w:rsid w:val="00985D11"/>
    <w:rsid w:val="009A0233"/>
    <w:rsid w:val="009C3A0B"/>
    <w:rsid w:val="009F0C14"/>
    <w:rsid w:val="00A2747A"/>
    <w:rsid w:val="00A34104"/>
    <w:rsid w:val="00A55763"/>
    <w:rsid w:val="00A73AC2"/>
    <w:rsid w:val="00AB698A"/>
    <w:rsid w:val="00AD4138"/>
    <w:rsid w:val="00AD66EB"/>
    <w:rsid w:val="00AE1A8A"/>
    <w:rsid w:val="00B3250D"/>
    <w:rsid w:val="00B6654A"/>
    <w:rsid w:val="00B67475"/>
    <w:rsid w:val="00B751B9"/>
    <w:rsid w:val="00BC66D9"/>
    <w:rsid w:val="00BF058B"/>
    <w:rsid w:val="00CA1F63"/>
    <w:rsid w:val="00CF0B3D"/>
    <w:rsid w:val="00D05F8E"/>
    <w:rsid w:val="00D32B81"/>
    <w:rsid w:val="00D45F5F"/>
    <w:rsid w:val="00D6047D"/>
    <w:rsid w:val="00D612B4"/>
    <w:rsid w:val="00D67702"/>
    <w:rsid w:val="00DD5545"/>
    <w:rsid w:val="00DE40E0"/>
    <w:rsid w:val="00DE5C4E"/>
    <w:rsid w:val="00E4300E"/>
    <w:rsid w:val="00E67150"/>
    <w:rsid w:val="00EE33A8"/>
    <w:rsid w:val="00EE3EAC"/>
    <w:rsid w:val="00F004AA"/>
    <w:rsid w:val="00F51FAD"/>
    <w:rsid w:val="00FC39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F5AB09"/>
  <w15:chartTrackingRefBased/>
  <w15:docId w15:val="{4D99A58B-3AFB-403E-83E3-9B0DF795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Helvetica" w:hAnsi="Helvetica" w:cs="Helvetica"/>
      <w:lang w:val="en-US" w:eastAsia="zh-CN"/>
    </w:rPr>
  </w:style>
  <w:style w:type="paragraph" w:styleId="Ttulo2">
    <w:name w:val="heading 2"/>
    <w:basedOn w:val="Normal"/>
    <w:next w:val="Normal"/>
    <w:qFormat/>
    <w:pPr>
      <w:keepNext/>
      <w:numPr>
        <w:ilvl w:val="1"/>
        <w:numId w:val="1"/>
      </w:numPr>
      <w:spacing w:before="240" w:after="60"/>
      <w:jc w:val="both"/>
      <w:outlineLvl w:val="1"/>
    </w:pPr>
    <w:rPr>
      <w:rFonts w:ascii="Arial" w:hAnsi="Arial" w:cs="Arial"/>
      <w:b/>
      <w:i/>
      <w:sz w:val="24"/>
    </w:rPr>
  </w:style>
  <w:style w:type="paragraph" w:styleId="Ttulo3">
    <w:name w:val="heading 3"/>
    <w:basedOn w:val="Normal"/>
    <w:next w:val="Normal"/>
    <w:qFormat/>
    <w:pPr>
      <w:keepNext/>
      <w:numPr>
        <w:ilvl w:val="2"/>
        <w:numId w:val="1"/>
      </w:numPr>
      <w:spacing w:before="240" w:after="60"/>
      <w:jc w:val="both"/>
      <w:outlineLvl w:val="2"/>
    </w:pPr>
    <w:rPr>
      <w:rFonts w:ascii="Arial" w:hAnsi="Arial" w:cs="Arial"/>
      <w:sz w:val="24"/>
    </w:rPr>
  </w:style>
  <w:style w:type="paragraph" w:styleId="Ttulo4">
    <w:name w:val="heading 4"/>
    <w:basedOn w:val="Normal"/>
    <w:next w:val="Normal"/>
    <w:qFormat/>
    <w:pPr>
      <w:keepNext/>
      <w:numPr>
        <w:numId w:val="2"/>
      </w:numPr>
      <w:outlineLvl w:val="3"/>
    </w:pPr>
    <w:rPr>
      <w:rFonts w:ascii="Arial" w:hAnsi="Arial" w:cs="Arial"/>
      <w:b/>
      <w:bCs/>
      <w:lang w:val="ro-R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Times New Roman" w:hAnsi="Times New Roman" w:cs="Times New Roman"/>
      <w:b w:val="0"/>
      <w:i w:val="0"/>
      <w:sz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5z1">
    <w:name w:val="WW8Num5z1"/>
    <w:rPr>
      <w:rFonts w:ascii="Courier New" w:hAnsi="Courier New" w:cs="Arial"/>
    </w:rPr>
  </w:style>
  <w:style w:type="character" w:customStyle="1" w:styleId="WW8Num5z3">
    <w:name w:val="WW8Num5z3"/>
    <w:rPr>
      <w:rFonts w:ascii="Symbol" w:hAnsi="Symbol" w:cs="Symbol"/>
    </w:rPr>
  </w:style>
  <w:style w:type="character" w:customStyle="1" w:styleId="Fuentedeprrafopredeter1">
    <w:name w:val="Fuente de párrafo predeter.1"/>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character" w:styleId="Hipervnculo">
    <w:name w:val="Hyperlink"/>
    <w:rPr>
      <w:color w:val="0000FF"/>
      <w:u w:val="single"/>
    </w:rPr>
  </w:style>
  <w:style w:type="character" w:styleId="Hipervnculovisitado">
    <w:name w:val="FollowedHyperlink"/>
    <w:rPr>
      <w:color w:val="800080"/>
      <w:u w:val="single"/>
    </w:rPr>
  </w:style>
  <w:style w:type="character" w:styleId="Nmerodepgina">
    <w:name w:val="page number"/>
    <w:basedOn w:val="Fuentedeprrafopredeter1"/>
  </w:style>
  <w:style w:type="paragraph" w:customStyle="1" w:styleId="Ttulo1">
    <w:name w:val="Título1"/>
    <w:basedOn w:val="Normal"/>
    <w:next w:val="Textoindependiente"/>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jc w:val="both"/>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ascii="Calibri" w:hAnsi="Calibri" w:cs="FreeSans"/>
      <w:i/>
      <w:iCs/>
      <w:sz w:val="24"/>
      <w:szCs w:val="24"/>
    </w:rPr>
  </w:style>
  <w:style w:type="paragraph" w:customStyle="1" w:styleId="ndice">
    <w:name w:val="Índice"/>
    <w:basedOn w:val="Normal"/>
    <w:pPr>
      <w:suppressLineNumbers/>
    </w:pPr>
    <w:rPr>
      <w:rFonts w:cs="FreeSans"/>
    </w:rPr>
  </w:style>
  <w:style w:type="paragraph" w:customStyle="1" w:styleId="Encabezado1">
    <w:name w:val="Encabezado1"/>
    <w:basedOn w:val="Normal"/>
    <w:next w:val="Textoindependiente"/>
    <w:pPr>
      <w:keepNext/>
      <w:spacing w:before="240" w:after="120"/>
    </w:pPr>
    <w:rPr>
      <w:rFonts w:ascii="Liberation Sans" w:eastAsia="Droid Sans Fallback" w:hAnsi="Liberation Sans" w:cs="FreeSans"/>
      <w:sz w:val="28"/>
      <w:szCs w:val="28"/>
    </w:rPr>
  </w:style>
  <w:style w:type="paragraph" w:customStyle="1" w:styleId="Pie">
    <w:name w:val="Pie"/>
    <w:basedOn w:val="Normal"/>
    <w:pPr>
      <w:suppressLineNumbers/>
      <w:spacing w:before="120" w:after="120"/>
    </w:pPr>
    <w:rPr>
      <w:rFonts w:cs="FreeSans"/>
      <w:i/>
      <w:iCs/>
      <w:sz w:val="24"/>
      <w:szCs w:val="24"/>
    </w:rPr>
  </w:style>
  <w:style w:type="paragraph" w:customStyle="1" w:styleId="TFReferencesSection">
    <w:name w:val="TF_References_Section"/>
    <w:basedOn w:val="Normal"/>
    <w:pPr>
      <w:spacing w:line="170" w:lineRule="exact"/>
      <w:ind w:firstLine="187"/>
      <w:jc w:val="both"/>
    </w:pPr>
    <w:rPr>
      <w:rFonts w:ascii="Times" w:hAnsi="Times" w:cs="Times"/>
      <w:sz w:val="16"/>
    </w:rPr>
  </w:style>
  <w:style w:type="paragraph" w:styleId="Textonotapie">
    <w:name w:val="footnote text"/>
    <w:basedOn w:val="TFReferencesSection"/>
    <w:next w:val="TFReferencesSection"/>
  </w:style>
  <w:style w:type="paragraph" w:customStyle="1" w:styleId="TAMainText">
    <w:name w:val="TA_Main_Text"/>
    <w:basedOn w:val="Normal"/>
    <w:link w:val="TAMainTextCar"/>
    <w:pPr>
      <w:spacing w:line="240" w:lineRule="exact"/>
      <w:ind w:firstLine="202"/>
      <w:jc w:val="both"/>
    </w:pPr>
    <w:rPr>
      <w:rFonts w:ascii="Times" w:hAnsi="Times" w:cs="Times"/>
    </w:rPr>
  </w:style>
  <w:style w:type="paragraph" w:customStyle="1" w:styleId="BATitle">
    <w:name w:val="BA_Title"/>
    <w:basedOn w:val="Normal"/>
    <w:next w:val="BBAuthorName"/>
    <w:pPr>
      <w:spacing w:before="720" w:after="240" w:line="480" w:lineRule="exact"/>
      <w:ind w:right="3024"/>
    </w:pPr>
    <w:rPr>
      <w:b/>
      <w:sz w:val="44"/>
    </w:rPr>
  </w:style>
  <w:style w:type="paragraph" w:customStyle="1" w:styleId="BBAuthorName">
    <w:name w:val="BB_Author_Name"/>
    <w:basedOn w:val="Normal"/>
    <w:next w:val="BCAuthorAddress"/>
    <w:pPr>
      <w:spacing w:after="240" w:line="240" w:lineRule="exact"/>
      <w:ind w:right="3024"/>
    </w:pPr>
    <w:rPr>
      <w:b/>
      <w:sz w:val="22"/>
    </w:rPr>
  </w:style>
  <w:style w:type="paragraph" w:customStyle="1" w:styleId="BCAuthorAddress">
    <w:name w:val="BC_Author_Address"/>
    <w:basedOn w:val="Normal"/>
    <w:next w:val="BIEmailAddress"/>
    <w:pPr>
      <w:spacing w:after="120" w:line="240" w:lineRule="exact"/>
      <w:ind w:right="3024"/>
    </w:pPr>
    <w:rPr>
      <w:rFonts w:ascii="Times" w:hAnsi="Times" w:cs="Times"/>
      <w:i/>
    </w:rPr>
  </w:style>
  <w:style w:type="paragraph" w:customStyle="1" w:styleId="BIEmailAddress">
    <w:name w:val="BI_Email_Address"/>
    <w:next w:val="AIReceive03"/>
    <w:pPr>
      <w:suppressAutoHyphens/>
      <w:spacing w:after="120" w:line="240" w:lineRule="exact"/>
      <w:ind w:right="3024"/>
    </w:pPr>
    <w:rPr>
      <w:rFonts w:ascii="Times" w:hAnsi="Times" w:cs="Times"/>
      <w:i/>
      <w:lang w:val="en-US" w:eastAsia="zh-CN"/>
    </w:rPr>
  </w:style>
  <w:style w:type="paragraph" w:customStyle="1" w:styleId="AIReceive03">
    <w:name w:val="AI_Receive03"/>
    <w:basedOn w:val="Normal"/>
    <w:next w:val="Absbox"/>
    <w:pPr>
      <w:spacing w:after="600" w:line="240" w:lineRule="exact"/>
      <w:ind w:right="3024"/>
    </w:pPr>
    <w:rPr>
      <w:b/>
      <w:sz w:val="18"/>
    </w:rPr>
  </w:style>
  <w:style w:type="paragraph" w:customStyle="1" w:styleId="BDAbstract">
    <w:name w:val="BD_Abstract"/>
    <w:pPr>
      <w:pBdr>
        <w:top w:val="none" w:sz="0" w:space="0" w:color="000000"/>
        <w:left w:val="none" w:sz="0" w:space="0" w:color="000000"/>
        <w:bottom w:val="single" w:sz="6" w:space="12" w:color="000000"/>
        <w:right w:val="none" w:sz="0" w:space="0" w:color="000000"/>
      </w:pBdr>
      <w:suppressAutoHyphens/>
      <w:spacing w:before="200" w:after="200" w:line="220" w:lineRule="exact"/>
      <w:jc w:val="both"/>
    </w:pPr>
    <w:rPr>
      <w:rFonts w:ascii="Helvetica" w:hAnsi="Helvetica" w:cs="Helvetica"/>
      <w:b/>
      <w:sz w:val="18"/>
      <w:lang w:val="en-US" w:eastAsia="zh-CN"/>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clear" w:color="auto" w:fill="800000"/>
      <w:spacing w:after="320"/>
      <w:ind w:left="86" w:right="130"/>
      <w:jc w:val="center"/>
    </w:pPr>
    <w:rPr>
      <w:color w:val="FFFFFF"/>
      <w:sz w:val="20"/>
    </w:rPr>
  </w:style>
  <w:style w:type="paragraph" w:customStyle="1" w:styleId="TDAcknowledgments">
    <w:name w:val="TD_Acknowledgments"/>
    <w:basedOn w:val="Normal"/>
    <w:next w:val="TESupportingInformation"/>
    <w:pPr>
      <w:spacing w:before="200" w:line="240" w:lineRule="exact"/>
      <w:ind w:firstLine="202"/>
      <w:jc w:val="both"/>
    </w:pPr>
    <w:rPr>
      <w:rFonts w:ascii="Times" w:hAnsi="Times" w:cs="Times"/>
    </w:rPr>
  </w:style>
  <w:style w:type="paragraph" w:customStyle="1" w:styleId="TESupportingInformation">
    <w:name w:val="TE_Supporting_Information"/>
    <w:basedOn w:val="Normal"/>
    <w:pPr>
      <w:spacing w:before="200" w:line="240" w:lineRule="exact"/>
      <w:ind w:firstLine="187"/>
      <w:jc w:val="both"/>
    </w:pPr>
    <w:rPr>
      <w:rFonts w:ascii="Times" w:hAnsi="Times" w:cs="Times"/>
    </w:rPr>
  </w:style>
  <w:style w:type="paragraph" w:customStyle="1" w:styleId="VCSchemeTitle">
    <w:name w:val="VC_Scheme_Title"/>
    <w:basedOn w:val="Normal"/>
    <w:next w:val="Normal"/>
    <w:pPr>
      <w:spacing w:after="240" w:line="200" w:lineRule="exact"/>
      <w:jc w:val="center"/>
    </w:pPr>
    <w:rPr>
      <w:rFonts w:ascii="Times" w:hAnsi="Times" w:cs="Times"/>
      <w:sz w:val="18"/>
    </w:rPr>
  </w:style>
  <w:style w:type="paragraph" w:customStyle="1" w:styleId="VDTableTitle">
    <w:name w:val="VD_Table_Title"/>
    <w:basedOn w:val="Normal"/>
    <w:next w:val="Normal"/>
    <w:pPr>
      <w:spacing w:after="240" w:line="200" w:lineRule="exact"/>
    </w:pPr>
    <w:rPr>
      <w:rFonts w:ascii="Times" w:hAnsi="Times" w:cs="Times"/>
      <w:sz w:val="18"/>
    </w:rPr>
  </w:style>
  <w:style w:type="paragraph" w:customStyle="1" w:styleId="TCScheme08">
    <w:name w:val="TC_Scheme_08"/>
    <w:basedOn w:val="Normal"/>
    <w:pPr>
      <w:spacing w:after="211" w:line="194" w:lineRule="exact"/>
    </w:pPr>
    <w:rPr>
      <w:sz w:val="19"/>
    </w:rPr>
  </w:style>
  <w:style w:type="paragraph" w:customStyle="1" w:styleId="VAFigureCaption">
    <w:name w:val="VA_Figure_Caption"/>
    <w:basedOn w:val="Normal"/>
    <w:next w:val="Normal"/>
    <w:pPr>
      <w:spacing w:before="240" w:line="200" w:lineRule="exact"/>
      <w:jc w:val="both"/>
    </w:pPr>
    <w:rPr>
      <w:rFonts w:ascii="Times" w:hAnsi="Times" w:cs="Times"/>
      <w:sz w:val="18"/>
    </w:rPr>
  </w:style>
  <w:style w:type="paragraph" w:customStyle="1" w:styleId="bar">
    <w:name w:val="bar"/>
    <w:basedOn w:val="Normal"/>
    <w:next w:val="Normal"/>
    <w:pPr>
      <w:shd w:val="clear" w:color="auto" w:fill="800000"/>
      <w:spacing w:before="360" w:after="80" w:line="220" w:lineRule="exact"/>
    </w:pPr>
  </w:style>
  <w:style w:type="paragraph" w:customStyle="1" w:styleId="thinbar">
    <w:name w:val="thinbar"/>
    <w:next w:val="TAMainText"/>
    <w:pPr>
      <w:pBdr>
        <w:top w:val="none" w:sz="0" w:space="0" w:color="000000"/>
        <w:left w:val="none" w:sz="0" w:space="0" w:color="000000"/>
        <w:bottom w:val="single" w:sz="6" w:space="1" w:color="800000"/>
        <w:right w:val="none" w:sz="0" w:space="0" w:color="000000"/>
      </w:pBdr>
      <w:suppressAutoHyphens/>
      <w:spacing w:before="240" w:after="300" w:line="20" w:lineRule="exact"/>
    </w:pPr>
    <w:rPr>
      <w:rFonts w:ascii="New York" w:hAnsi="New York" w:cs="New York"/>
      <w:lang w:val="en-US" w:eastAsia="zh-CN"/>
    </w:rPr>
  </w:style>
  <w:style w:type="paragraph" w:customStyle="1" w:styleId="graphicbox">
    <w:name w:val="graphicbox"/>
    <w:basedOn w:val="Normal"/>
    <w:next w:val="BDAbstract"/>
    <w:pPr>
      <w:jc w:val="center"/>
    </w:pPr>
    <w:rPr>
      <w:rFonts w:ascii="Times" w:hAnsi="Times" w:cs="Times"/>
      <w:sz w:val="18"/>
    </w:rPr>
  </w:style>
  <w:style w:type="paragraph" w:customStyle="1" w:styleId="FETableFootnote">
    <w:name w:val="FE_Table_Footnote"/>
    <w:basedOn w:val="Normal"/>
    <w:pPr>
      <w:spacing w:line="170" w:lineRule="exact"/>
      <w:ind w:firstLine="187"/>
    </w:pPr>
    <w:rPr>
      <w:sz w:val="16"/>
    </w:rPr>
  </w:style>
  <w:style w:type="paragraph" w:customStyle="1" w:styleId="FDSchemeFootnote">
    <w:name w:val="FD_Scheme_Footnote"/>
    <w:basedOn w:val="Normal"/>
  </w:style>
  <w:style w:type="paragraph" w:customStyle="1" w:styleId="TCTableBody">
    <w:name w:val="TC_Table_Body"/>
    <w:basedOn w:val="VDTableTitle"/>
    <w:pPr>
      <w:jc w:val="both"/>
    </w:pPr>
  </w:style>
  <w:style w:type="paragraph" w:styleId="Textonotaalfinal">
    <w:name w:val="endnote text"/>
    <w:basedOn w:val="Normal"/>
  </w:style>
  <w:style w:type="paragraph" w:customStyle="1" w:styleId="VBChartTitle">
    <w:name w:val="VB_Chart_Title"/>
    <w:basedOn w:val="Normal"/>
    <w:next w:val="Normal"/>
    <w:pPr>
      <w:spacing w:before="240" w:line="200" w:lineRule="exact"/>
      <w:jc w:val="both"/>
    </w:pPr>
    <w:rPr>
      <w:rFonts w:ascii="Times" w:hAnsi="Times" w:cs="Times"/>
      <w:sz w:val="19"/>
    </w:rPr>
  </w:style>
  <w:style w:type="paragraph" w:customStyle="1" w:styleId="FCChartFootnote">
    <w:name w:val="FC_Chart_Footnote"/>
    <w:basedOn w:val="FETableFootnote"/>
    <w:pPr>
      <w:spacing w:before="120" w:line="180" w:lineRule="exact"/>
      <w:jc w:val="both"/>
    </w:pPr>
    <w:rPr>
      <w:rFonts w:ascii="Times" w:hAnsi="Times" w:cs="Times"/>
      <w:sz w:val="17"/>
    </w:rPr>
  </w:style>
  <w:style w:type="paragraph" w:customStyle="1" w:styleId="Cabeceraypie">
    <w:name w:val="Cabecera y pie"/>
    <w:basedOn w:val="Normal"/>
    <w:pPr>
      <w:suppressLineNumbers/>
      <w:tabs>
        <w:tab w:val="center" w:pos="4986"/>
        <w:tab w:val="right" w:pos="9972"/>
      </w:tabs>
    </w:pPr>
  </w:style>
  <w:style w:type="paragraph" w:styleId="Encabezado">
    <w:name w:val="header"/>
    <w:basedOn w:val="Normal"/>
    <w:pPr>
      <w:tabs>
        <w:tab w:val="center" w:pos="4320"/>
        <w:tab w:val="right" w:pos="8640"/>
      </w:tabs>
    </w:pPr>
    <w:rPr>
      <w:rFonts w:ascii="Times New Roman" w:hAnsi="Times New Roman" w:cs="Times New Roman"/>
    </w:rPr>
  </w:style>
  <w:style w:type="paragraph" w:styleId="Piedepgina">
    <w:name w:val="footer"/>
    <w:basedOn w:val="Normal"/>
    <w:pPr>
      <w:tabs>
        <w:tab w:val="center" w:pos="4419"/>
        <w:tab w:val="right" w:pos="8838"/>
      </w:tabs>
    </w:pPr>
  </w:style>
  <w:style w:type="paragraph" w:customStyle="1" w:styleId="tlbody">
    <w:name w:val="tl_body"/>
    <w:basedOn w:val="Normal"/>
    <w:pPr>
      <w:spacing w:line="260" w:lineRule="exact"/>
      <w:ind w:firstLine="142"/>
      <w:jc w:val="both"/>
    </w:pPr>
    <w:rPr>
      <w:rFonts w:ascii="Times New Roman" w:hAnsi="Times New Roman" w:cs="Times New Roman"/>
      <w:sz w:val="22"/>
      <w:lang w:val="en-GB"/>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Normal"/>
  </w:style>
  <w:style w:type="paragraph" w:styleId="NormalWeb">
    <w:name w:val="Normal (Web)"/>
    <w:basedOn w:val="Normal"/>
    <w:pPr>
      <w:spacing w:before="280" w:after="280"/>
    </w:pPr>
    <w:rPr>
      <w:lang w:val="pl-PL"/>
    </w:rPr>
  </w:style>
  <w:style w:type="character" w:styleId="Mencinsinresolver">
    <w:name w:val="Unresolved Mention"/>
    <w:uiPriority w:val="99"/>
    <w:semiHidden/>
    <w:unhideWhenUsed/>
    <w:rsid w:val="00824DF2"/>
    <w:rPr>
      <w:color w:val="605E5C"/>
      <w:shd w:val="clear" w:color="auto" w:fill="E1DFDD"/>
    </w:rPr>
  </w:style>
  <w:style w:type="paragraph" w:customStyle="1" w:styleId="EndNoteBibliographyTitle">
    <w:name w:val="EndNote Bibliography Title"/>
    <w:basedOn w:val="Normal"/>
    <w:link w:val="EndNoteBibliographyTitleCar"/>
    <w:rsid w:val="00D612B4"/>
    <w:pPr>
      <w:jc w:val="center"/>
    </w:pPr>
  </w:style>
  <w:style w:type="character" w:customStyle="1" w:styleId="EndNoteBibliographyTitleCar">
    <w:name w:val="EndNote Bibliography Title Car"/>
    <w:link w:val="EndNoteBibliographyTitle"/>
    <w:rsid w:val="00D612B4"/>
    <w:rPr>
      <w:rFonts w:ascii="Helvetica" w:hAnsi="Helvetica" w:cs="Helvetica"/>
      <w:lang w:val="en-US" w:eastAsia="zh-CN"/>
    </w:rPr>
  </w:style>
  <w:style w:type="paragraph" w:customStyle="1" w:styleId="EndNoteBibliography">
    <w:name w:val="EndNote Bibliography"/>
    <w:basedOn w:val="Normal"/>
    <w:link w:val="EndNoteBibliographyCar"/>
    <w:rsid w:val="00D612B4"/>
    <w:pPr>
      <w:jc w:val="both"/>
    </w:pPr>
  </w:style>
  <w:style w:type="character" w:customStyle="1" w:styleId="EndNoteBibliographyCar">
    <w:name w:val="EndNote Bibliography Car"/>
    <w:link w:val="EndNoteBibliography"/>
    <w:rsid w:val="00D612B4"/>
    <w:rPr>
      <w:rFonts w:ascii="Helvetica" w:hAnsi="Helvetica" w:cs="Helvetica"/>
      <w:lang w:val="en-US" w:eastAsia="zh-CN"/>
    </w:rPr>
  </w:style>
  <w:style w:type="character" w:customStyle="1" w:styleId="TAMainTextCar">
    <w:name w:val="TA_Main_Text Car"/>
    <w:link w:val="TAMainText"/>
    <w:rsid w:val="00985D11"/>
    <w:rPr>
      <w:rFonts w:ascii="Times" w:hAnsi="Times" w:cs="Time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rrea@itba.edu.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Template para os Anais Impressos do XX SICAT</vt:lpstr>
    </vt:vector>
  </TitlesOfParts>
  <Company/>
  <LinksUpToDate>false</LinksUpToDate>
  <CharactersWithSpaces>3358</CharactersWithSpaces>
  <SharedDoc>false</SharedDoc>
  <HLinks>
    <vt:vector size="6" baseType="variant">
      <vt:variant>
        <vt:i4>3932243</vt:i4>
      </vt:variant>
      <vt:variant>
        <vt:i4>0</vt:i4>
      </vt:variant>
      <vt:variant>
        <vt:i4>0</vt:i4>
      </vt:variant>
      <vt:variant>
        <vt:i4>5</vt:i4>
      </vt:variant>
      <vt:variant>
        <vt:lpwstr>mailto:merrea@itba.edu.ar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os Anais Impressos do XX SICAT</dc:title>
  <dc:subject/>
  <dc:creator>Adriano Lisboa Monteiro - IQ - UFRGS</dc:creator>
  <cp:keywords/>
  <cp:lastModifiedBy>María Inés Errea</cp:lastModifiedBy>
  <cp:revision>2</cp:revision>
  <cp:lastPrinted>2011-12-05T20:48:00Z</cp:lastPrinted>
  <dcterms:created xsi:type="dcterms:W3CDTF">2024-09-30T12:34:00Z</dcterms:created>
  <dcterms:modified xsi:type="dcterms:W3CDTF">2024-09-30T12:34:00Z</dcterms:modified>
</cp:coreProperties>
</file>