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957262D" w14:textId="77777777" w:rsidR="00D73342" w:rsidRDefault="0056723B" w:rsidP="00D73342">
      <w:pPr>
        <w:pStyle w:val="Textoindependiente"/>
        <w:spacing w:before="120" w:after="120"/>
        <w:jc w:val="center"/>
        <w:rPr>
          <w:rFonts w:cs="Times New Roman"/>
          <w:b/>
          <w:bCs/>
          <w:sz w:val="24"/>
          <w:szCs w:val="24"/>
          <w:lang w:val="ro-RO"/>
        </w:rPr>
      </w:pPr>
      <w:proofErr w:type="spellStart"/>
      <w:r w:rsidRPr="0056723B">
        <w:rPr>
          <w:rFonts w:cs="Times New Roman"/>
          <w:b/>
          <w:bCs/>
          <w:sz w:val="24"/>
          <w:szCs w:val="24"/>
          <w:lang w:val="ro-RO"/>
        </w:rPr>
        <w:t>Study</w:t>
      </w:r>
      <w:proofErr w:type="spellEnd"/>
      <w:r w:rsidRPr="0056723B">
        <w:rPr>
          <w:rFonts w:cs="Times New Roman"/>
          <w:b/>
          <w:bCs/>
          <w:sz w:val="24"/>
          <w:szCs w:val="24"/>
          <w:lang w:val="ro-RO"/>
        </w:rPr>
        <w:t xml:space="preserve"> of </w:t>
      </w:r>
      <w:proofErr w:type="spellStart"/>
      <w:r w:rsidRPr="0056723B">
        <w:rPr>
          <w:rFonts w:cs="Times New Roman"/>
          <w:b/>
          <w:bCs/>
          <w:sz w:val="24"/>
          <w:szCs w:val="24"/>
          <w:lang w:val="ro-RO"/>
        </w:rPr>
        <w:t>the</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Influence</w:t>
      </w:r>
      <w:proofErr w:type="spellEnd"/>
      <w:r w:rsidRPr="0056723B">
        <w:rPr>
          <w:rFonts w:cs="Times New Roman"/>
          <w:b/>
          <w:bCs/>
          <w:sz w:val="24"/>
          <w:szCs w:val="24"/>
          <w:lang w:val="ro-RO"/>
        </w:rPr>
        <w:t xml:space="preserve"> of </w:t>
      </w:r>
      <w:proofErr w:type="spellStart"/>
      <w:r w:rsidRPr="0056723B">
        <w:rPr>
          <w:rFonts w:cs="Times New Roman"/>
          <w:b/>
          <w:bCs/>
          <w:sz w:val="24"/>
          <w:szCs w:val="24"/>
          <w:lang w:val="ro-RO"/>
        </w:rPr>
        <w:t>Recyclable</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Polymers</w:t>
      </w:r>
      <w:proofErr w:type="spellEnd"/>
      <w:r w:rsidRPr="0056723B">
        <w:rPr>
          <w:rFonts w:cs="Times New Roman"/>
          <w:b/>
          <w:bCs/>
          <w:sz w:val="24"/>
          <w:szCs w:val="24"/>
          <w:lang w:val="ro-RO"/>
        </w:rPr>
        <w:t xml:space="preserve"> on </w:t>
      </w:r>
      <w:proofErr w:type="spellStart"/>
      <w:r w:rsidRPr="0056723B">
        <w:rPr>
          <w:rFonts w:cs="Times New Roman"/>
          <w:b/>
          <w:bCs/>
          <w:sz w:val="24"/>
          <w:szCs w:val="24"/>
          <w:lang w:val="ro-RO"/>
        </w:rPr>
        <w:t>the</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Production</w:t>
      </w:r>
      <w:proofErr w:type="spellEnd"/>
      <w:r w:rsidRPr="0056723B">
        <w:rPr>
          <w:rFonts w:cs="Times New Roman"/>
          <w:b/>
          <w:bCs/>
          <w:sz w:val="24"/>
          <w:szCs w:val="24"/>
          <w:lang w:val="ro-RO"/>
        </w:rPr>
        <w:t xml:space="preserve"> of </w:t>
      </w:r>
      <w:proofErr w:type="spellStart"/>
      <w:r w:rsidRPr="0056723B">
        <w:rPr>
          <w:rFonts w:cs="Times New Roman"/>
          <w:b/>
          <w:bCs/>
          <w:sz w:val="24"/>
          <w:szCs w:val="24"/>
          <w:lang w:val="ro-RO"/>
        </w:rPr>
        <w:t>Multilayer</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Films</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by</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Extrusion</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and</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Blown</w:t>
      </w:r>
      <w:proofErr w:type="spellEnd"/>
      <w:r w:rsidRPr="0056723B">
        <w:rPr>
          <w:rFonts w:cs="Times New Roman"/>
          <w:b/>
          <w:bCs/>
          <w:sz w:val="24"/>
          <w:szCs w:val="24"/>
          <w:lang w:val="ro-RO"/>
        </w:rPr>
        <w:t xml:space="preserve"> Film </w:t>
      </w:r>
      <w:proofErr w:type="spellStart"/>
      <w:r w:rsidRPr="0056723B">
        <w:rPr>
          <w:rFonts w:cs="Times New Roman"/>
          <w:b/>
          <w:bCs/>
          <w:sz w:val="24"/>
          <w:szCs w:val="24"/>
          <w:lang w:val="ro-RO"/>
        </w:rPr>
        <w:t>Techniques</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and</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Their</w:t>
      </w:r>
      <w:proofErr w:type="spellEnd"/>
      <w:r w:rsidRPr="0056723B">
        <w:rPr>
          <w:rFonts w:cs="Times New Roman"/>
          <w:b/>
          <w:bCs/>
          <w:sz w:val="24"/>
          <w:szCs w:val="24"/>
          <w:lang w:val="ro-RO"/>
        </w:rPr>
        <w:t xml:space="preserve"> </w:t>
      </w:r>
      <w:proofErr w:type="spellStart"/>
      <w:r w:rsidRPr="0056723B">
        <w:rPr>
          <w:rFonts w:cs="Times New Roman"/>
          <w:b/>
          <w:bCs/>
          <w:sz w:val="24"/>
          <w:szCs w:val="24"/>
          <w:lang w:val="ro-RO"/>
        </w:rPr>
        <w:t>Properties.</w:t>
      </w:r>
      <w:proofErr w:type="spellEnd"/>
    </w:p>
    <w:p w14:paraId="75CBB61C" w14:textId="7E1DD3E6" w:rsidR="009C3A0B" w:rsidRPr="00D73342" w:rsidRDefault="00CE23F6" w:rsidP="00D73342">
      <w:pPr>
        <w:pStyle w:val="Textoindependiente"/>
        <w:spacing w:before="120" w:after="120"/>
        <w:jc w:val="center"/>
        <w:rPr>
          <w:rFonts w:cs="Times New Roman"/>
          <w:b/>
          <w:bCs/>
          <w:sz w:val="24"/>
          <w:szCs w:val="24"/>
          <w:lang w:val="ro-RO"/>
        </w:rPr>
      </w:pPr>
      <w:r>
        <w:rPr>
          <w:rFonts w:cs="Times New Roman"/>
          <w:sz w:val="22"/>
          <w:szCs w:val="22"/>
          <w:lang w:val="ro-RO"/>
        </w:rPr>
        <w:t xml:space="preserve">Johan </w:t>
      </w:r>
      <w:proofErr w:type="spellStart"/>
      <w:r>
        <w:rPr>
          <w:rFonts w:cs="Times New Roman"/>
          <w:sz w:val="22"/>
          <w:szCs w:val="22"/>
          <w:lang w:val="ro-RO"/>
        </w:rPr>
        <w:t>garcia</w:t>
      </w:r>
      <w:r w:rsidR="00D612B4" w:rsidRPr="0069405B">
        <w:rPr>
          <w:rFonts w:cs="Times New Roman"/>
          <w:sz w:val="22"/>
          <w:szCs w:val="22"/>
          <w:vertAlign w:val="superscript"/>
          <w:lang w:val="ro-RO"/>
        </w:rPr>
        <w:t>a</w:t>
      </w:r>
      <w:proofErr w:type="spellEnd"/>
      <w:r w:rsidR="00D612B4" w:rsidRPr="0069405B">
        <w:rPr>
          <w:rFonts w:cs="Times New Roman"/>
          <w:sz w:val="22"/>
          <w:szCs w:val="22"/>
          <w:lang w:val="ro-RO"/>
        </w:rPr>
        <w:t xml:space="preserve">, </w:t>
      </w:r>
      <w:r w:rsidR="00395D76">
        <w:rPr>
          <w:rFonts w:cs="Times New Roman"/>
          <w:sz w:val="22"/>
          <w:szCs w:val="22"/>
          <w:lang w:val="ro-RO"/>
        </w:rPr>
        <w:t xml:space="preserve">Omar </w:t>
      </w:r>
      <w:proofErr w:type="spellStart"/>
      <w:r w:rsidR="00395D76">
        <w:rPr>
          <w:rFonts w:cs="Times New Roman"/>
          <w:sz w:val="22"/>
          <w:szCs w:val="22"/>
          <w:lang w:val="ro-RO"/>
        </w:rPr>
        <w:t>Mayorga</w:t>
      </w:r>
      <w:r w:rsidR="00D612B4" w:rsidRPr="0069405B">
        <w:rPr>
          <w:rFonts w:cs="Times New Roman"/>
          <w:sz w:val="22"/>
          <w:szCs w:val="22"/>
          <w:vertAlign w:val="superscript"/>
          <w:lang w:val="ro-RO"/>
        </w:rPr>
        <w:t>b</w:t>
      </w:r>
      <w:proofErr w:type="spellEnd"/>
      <w:r w:rsidR="00607832">
        <w:rPr>
          <w:rFonts w:cs="Times New Roman"/>
          <w:sz w:val="22"/>
          <w:szCs w:val="22"/>
          <w:lang w:val="ro-RO"/>
        </w:rPr>
        <w:t xml:space="preserve">, Nora </w:t>
      </w:r>
      <w:proofErr w:type="spellStart"/>
      <w:r w:rsidR="0094445E" w:rsidRPr="0094445E">
        <w:rPr>
          <w:rFonts w:cs="Times New Roman"/>
          <w:sz w:val="22"/>
          <w:szCs w:val="22"/>
          <w:lang w:val="ro-RO"/>
        </w:rPr>
        <w:t>Aranburu</w:t>
      </w:r>
      <w:r w:rsidR="00607832" w:rsidRPr="0069405B">
        <w:rPr>
          <w:rFonts w:cs="Times New Roman"/>
          <w:sz w:val="22"/>
          <w:szCs w:val="22"/>
          <w:vertAlign w:val="superscript"/>
          <w:lang w:val="ro-RO"/>
        </w:rPr>
        <w:t>b</w:t>
      </w:r>
      <w:proofErr w:type="spellEnd"/>
      <w:r w:rsidR="0094445E">
        <w:rPr>
          <w:rFonts w:cs="Times New Roman"/>
          <w:sz w:val="22"/>
          <w:szCs w:val="22"/>
          <w:lang w:val="ro-RO"/>
        </w:rPr>
        <w:t xml:space="preserve">, Gonzalo </w:t>
      </w:r>
      <w:proofErr w:type="spellStart"/>
      <w:r w:rsidR="0094445E">
        <w:rPr>
          <w:rFonts w:cs="Times New Roman"/>
          <w:sz w:val="22"/>
          <w:szCs w:val="22"/>
          <w:lang w:val="ro-RO"/>
        </w:rPr>
        <w:t>Guerrica</w:t>
      </w:r>
      <w:r w:rsidR="0094445E" w:rsidRPr="0069405B">
        <w:rPr>
          <w:rFonts w:cs="Times New Roman"/>
          <w:sz w:val="22"/>
          <w:szCs w:val="22"/>
          <w:vertAlign w:val="superscript"/>
          <w:lang w:val="ro-RO"/>
        </w:rPr>
        <w:t>b</w:t>
      </w:r>
      <w:proofErr w:type="spellEnd"/>
    </w:p>
    <w:p w14:paraId="350F9FA3" w14:textId="2E9087BE" w:rsidR="00607832" w:rsidRPr="00607832" w:rsidRDefault="00607832" w:rsidP="00EC607F">
      <w:pPr>
        <w:pStyle w:val="Textoindependiente"/>
        <w:jc w:val="center"/>
        <w:rPr>
          <w:rFonts w:cs="Times New Roman"/>
          <w:sz w:val="22"/>
          <w:szCs w:val="22"/>
          <w:vertAlign w:val="superscript"/>
          <w:lang w:val="ro-RO"/>
        </w:rPr>
      </w:pPr>
      <w:r w:rsidRPr="00607832">
        <w:rPr>
          <w:rFonts w:cs="Times New Roman"/>
          <w:sz w:val="22"/>
          <w:szCs w:val="22"/>
          <w:vertAlign w:val="superscript"/>
          <w:lang w:val="ro-RO"/>
        </w:rPr>
        <w:t xml:space="preserve">a University of </w:t>
      </w:r>
      <w:proofErr w:type="spellStart"/>
      <w:r w:rsidRPr="00607832">
        <w:rPr>
          <w:rFonts w:cs="Times New Roman"/>
          <w:sz w:val="22"/>
          <w:szCs w:val="22"/>
          <w:vertAlign w:val="superscript"/>
          <w:lang w:val="ro-RO"/>
        </w:rPr>
        <w:t>the</w:t>
      </w:r>
      <w:proofErr w:type="spellEnd"/>
      <w:r w:rsidRPr="00607832">
        <w:rPr>
          <w:rFonts w:cs="Times New Roman"/>
          <w:sz w:val="22"/>
          <w:szCs w:val="22"/>
          <w:vertAlign w:val="superscript"/>
          <w:lang w:val="ro-RO"/>
        </w:rPr>
        <w:t xml:space="preserve"> </w:t>
      </w:r>
      <w:proofErr w:type="spellStart"/>
      <w:r w:rsidRPr="00607832">
        <w:rPr>
          <w:rFonts w:cs="Times New Roman"/>
          <w:sz w:val="22"/>
          <w:szCs w:val="22"/>
          <w:vertAlign w:val="superscript"/>
          <w:lang w:val="ro-RO"/>
        </w:rPr>
        <w:t>Basque</w:t>
      </w:r>
      <w:proofErr w:type="spellEnd"/>
      <w:r w:rsidRPr="00607832">
        <w:rPr>
          <w:rFonts w:cs="Times New Roman"/>
          <w:sz w:val="22"/>
          <w:szCs w:val="22"/>
          <w:vertAlign w:val="superscript"/>
          <w:lang w:val="ro-RO"/>
        </w:rPr>
        <w:t xml:space="preserve"> Country, Engineering, </w:t>
      </w:r>
      <w:proofErr w:type="spellStart"/>
      <w:r>
        <w:rPr>
          <w:rFonts w:cs="Times New Roman"/>
          <w:sz w:val="22"/>
          <w:szCs w:val="22"/>
          <w:vertAlign w:val="superscript"/>
          <w:lang w:val="ro-RO"/>
        </w:rPr>
        <w:t>Cobbler</w:t>
      </w:r>
      <w:proofErr w:type="spellEnd"/>
      <w:r w:rsidRPr="00607832">
        <w:rPr>
          <w:rFonts w:cs="Times New Roman"/>
          <w:sz w:val="22"/>
          <w:szCs w:val="22"/>
          <w:vertAlign w:val="superscript"/>
          <w:lang w:val="ro-RO"/>
        </w:rPr>
        <w:t>, Bilbao, Spain.</w:t>
      </w:r>
    </w:p>
    <w:p w14:paraId="336BFFDD" w14:textId="77777777" w:rsidR="00607832" w:rsidRPr="00607832" w:rsidRDefault="00607832" w:rsidP="00EC607F">
      <w:pPr>
        <w:pStyle w:val="Textoindependiente"/>
        <w:jc w:val="center"/>
        <w:rPr>
          <w:rFonts w:cs="Times New Roman"/>
          <w:sz w:val="22"/>
          <w:szCs w:val="22"/>
          <w:vertAlign w:val="superscript"/>
          <w:lang w:val="ro-RO"/>
        </w:rPr>
      </w:pPr>
      <w:r w:rsidRPr="00607832">
        <w:rPr>
          <w:rFonts w:cs="Times New Roman"/>
          <w:sz w:val="22"/>
          <w:szCs w:val="22"/>
          <w:vertAlign w:val="superscript"/>
          <w:lang w:val="ro-RO"/>
        </w:rPr>
        <w:t xml:space="preserve">b University of </w:t>
      </w:r>
      <w:proofErr w:type="spellStart"/>
      <w:r w:rsidRPr="00607832">
        <w:rPr>
          <w:rFonts w:cs="Times New Roman"/>
          <w:sz w:val="22"/>
          <w:szCs w:val="22"/>
          <w:vertAlign w:val="superscript"/>
          <w:lang w:val="ro-RO"/>
        </w:rPr>
        <w:t>the</w:t>
      </w:r>
      <w:proofErr w:type="spellEnd"/>
      <w:r w:rsidRPr="00607832">
        <w:rPr>
          <w:rFonts w:cs="Times New Roman"/>
          <w:sz w:val="22"/>
          <w:szCs w:val="22"/>
          <w:vertAlign w:val="superscript"/>
          <w:lang w:val="ro-RO"/>
        </w:rPr>
        <w:t xml:space="preserve"> </w:t>
      </w:r>
      <w:proofErr w:type="spellStart"/>
      <w:r w:rsidRPr="00607832">
        <w:rPr>
          <w:rFonts w:cs="Times New Roman"/>
          <w:sz w:val="22"/>
          <w:szCs w:val="22"/>
          <w:vertAlign w:val="superscript"/>
          <w:lang w:val="ro-RO"/>
        </w:rPr>
        <w:t>Basque</w:t>
      </w:r>
      <w:proofErr w:type="spellEnd"/>
      <w:r w:rsidRPr="00607832">
        <w:rPr>
          <w:rFonts w:cs="Times New Roman"/>
          <w:sz w:val="22"/>
          <w:szCs w:val="22"/>
          <w:vertAlign w:val="superscript"/>
          <w:lang w:val="ro-RO"/>
        </w:rPr>
        <w:t xml:space="preserve"> Country, </w:t>
      </w:r>
      <w:proofErr w:type="spellStart"/>
      <w:r w:rsidRPr="00607832">
        <w:rPr>
          <w:rFonts w:cs="Times New Roman"/>
          <w:sz w:val="22"/>
          <w:szCs w:val="22"/>
          <w:vertAlign w:val="superscript"/>
          <w:lang w:val="ro-RO"/>
        </w:rPr>
        <w:t>Chemistry</w:t>
      </w:r>
      <w:proofErr w:type="spellEnd"/>
      <w:r w:rsidRPr="00607832">
        <w:rPr>
          <w:rFonts w:cs="Times New Roman"/>
          <w:sz w:val="22"/>
          <w:szCs w:val="22"/>
          <w:vertAlign w:val="superscript"/>
          <w:lang w:val="ro-RO"/>
        </w:rPr>
        <w:t xml:space="preserve">, </w:t>
      </w:r>
      <w:proofErr w:type="spellStart"/>
      <w:r w:rsidRPr="00607832">
        <w:rPr>
          <w:rFonts w:cs="Times New Roman"/>
          <w:sz w:val="22"/>
          <w:szCs w:val="22"/>
          <w:vertAlign w:val="superscript"/>
          <w:lang w:val="ro-RO"/>
        </w:rPr>
        <w:t>Polymat</w:t>
      </w:r>
      <w:proofErr w:type="spellEnd"/>
      <w:r w:rsidRPr="00607832">
        <w:rPr>
          <w:rFonts w:cs="Times New Roman"/>
          <w:sz w:val="22"/>
          <w:szCs w:val="22"/>
          <w:vertAlign w:val="superscript"/>
          <w:lang w:val="ro-RO"/>
        </w:rPr>
        <w:t xml:space="preserve"> Group, San </w:t>
      </w:r>
      <w:proofErr w:type="spellStart"/>
      <w:r w:rsidRPr="00607832">
        <w:rPr>
          <w:rFonts w:cs="Times New Roman"/>
          <w:sz w:val="22"/>
          <w:szCs w:val="22"/>
          <w:vertAlign w:val="superscript"/>
          <w:lang w:val="ro-RO"/>
        </w:rPr>
        <w:t>Sebastián</w:t>
      </w:r>
      <w:proofErr w:type="spellEnd"/>
      <w:r w:rsidRPr="00607832">
        <w:rPr>
          <w:rFonts w:cs="Times New Roman"/>
          <w:sz w:val="22"/>
          <w:szCs w:val="22"/>
          <w:vertAlign w:val="superscript"/>
          <w:lang w:val="ro-RO"/>
        </w:rPr>
        <w:t>, Spain.</w:t>
      </w:r>
    </w:p>
    <w:p w14:paraId="30C55302" w14:textId="51439E58" w:rsidR="005A22A3" w:rsidRPr="00DE5C4E" w:rsidRDefault="009C3A0B" w:rsidP="00EC607F">
      <w:pPr>
        <w:pStyle w:val="Textoindependiente"/>
        <w:jc w:val="center"/>
        <w:rPr>
          <w:rFonts w:cs="Times New Roman"/>
          <w:i/>
          <w:iCs/>
          <w:sz w:val="24"/>
          <w:szCs w:val="24"/>
          <w:lang w:val="ro-RO"/>
        </w:rPr>
      </w:pPr>
      <w:r w:rsidRPr="00607832">
        <w:rPr>
          <w:rFonts w:cs="Times New Roman"/>
          <w:sz w:val="22"/>
          <w:szCs w:val="22"/>
          <w:vertAlign w:val="superscript"/>
          <w:lang w:val="ro-RO"/>
        </w:rPr>
        <w:t>Email</w:t>
      </w:r>
      <w:r w:rsidR="008B1155" w:rsidRPr="00607832">
        <w:rPr>
          <w:rFonts w:cs="Times New Roman"/>
          <w:sz w:val="22"/>
          <w:szCs w:val="22"/>
          <w:vertAlign w:val="superscript"/>
          <w:lang w:val="ro-RO"/>
        </w:rPr>
        <w:t>: jgarcia500@ikasle.ehu.eus.</w:t>
      </w:r>
    </w:p>
    <w:p w14:paraId="27EE5B07" w14:textId="22C4BEFD" w:rsidR="007A0BCF" w:rsidRDefault="007A0BCF" w:rsidP="00097168">
      <w:pPr>
        <w:jc w:val="both"/>
        <w:rPr>
          <w:rFonts w:cs="Times New Roman"/>
          <w:sz w:val="22"/>
          <w:szCs w:val="22"/>
          <w:lang w:val="en-US"/>
        </w:rPr>
      </w:pPr>
      <w:r w:rsidRPr="007A0BCF">
        <w:rPr>
          <w:rFonts w:cs="Times New Roman"/>
          <w:sz w:val="22"/>
          <w:szCs w:val="22"/>
          <w:lang w:val="en-US"/>
        </w:rPr>
        <w:t>The exponential increase in plastic waste production poses a constant risk to ecosystems due to its negative impact on climate change and pollution</w:t>
      </w:r>
      <w:r w:rsidR="007F2F18">
        <w:rPr>
          <w:rFonts w:cs="Times New Roman"/>
          <w:sz w:val="22"/>
          <w:szCs w:val="22"/>
          <w:lang w:val="en-US"/>
        </w:rPr>
        <w:t xml:space="preserve"> </w:t>
      </w:r>
      <w:r w:rsidR="00C764B4">
        <w:rPr>
          <w:rFonts w:cs="Times New Roman"/>
          <w:sz w:val="22"/>
          <w:szCs w:val="22"/>
          <w:lang w:val="en-US"/>
        </w:rPr>
        <w:fldChar w:fldCharType="begin" w:fldLock="1"/>
      </w:r>
      <w:r w:rsidR="004A7AB9">
        <w:rPr>
          <w:rFonts w:cs="Times New Roman"/>
          <w:sz w:val="22"/>
          <w:szCs w:val="22"/>
          <w:lang w:val="en-US"/>
        </w:rPr>
        <w:instrText>ADDIN CSL_CITATION {"citationItems":[{"id":"ITEM-1","itemData":{"DOI":"10.3390/polym15132966","ISSN":"20734360","abstract":"Food preservation is an essential application for polymers, particularly in packaging. Complex multilayer films, such as those used for modified atmosphere packaging (MAP), extend the shelf life of sensitive foods. These mostly contain various polymers to achieve the necessary combination of mechanic, optic, and barrier properties that limit their recyclability. As the European Union’s Circular Economy Action Plan calls for sustainable products and business models, including waste prevention policies and recycling quotas, with plastic packaging being a high priority, solutions towards more sustainable multilayer packaging are urgently needed. This study evaluated and compared the recycling potential of functionally equivalent PET (polyethylene terephthalate) and PP (polypropylene) post-consumer MAP through structure analysis and recycling simulation. The structure analysis revealed that both types of MAP contained functional (stability) and barrier layers (oxygen and moisture). The recycling simulation showed that the PP-based packaging was recyclable 10 times, maintaining its mechanical properties and functionality. At the same time, the PET-based MAP resulted in a highly brittle material that was unsuitable for reprocessing into similar economic value products. The secondary material from the PP-based MAP was successfully manufactured into films, demonstrating the functional possibility of closed-loop recycling. The transition from a linear to a circular economy for MAP is currently still limited by safety concerns due to a lack of sufficient and efficient purification methods, but the proper design of multilayers for recyclability is a first step towards circularity.","author":[{"dropping-particle":"","family":"Seier","given":"Martina","non-dropping-particle":"","parse-names":false,"suffix":""},{"dropping-particle":"","family":"Archodoulaki","given":"Vasiliki Maria","non-dropping-particle":"","parse-names":false,"suffix":""},{"dropping-particle":"","family":"Koch","given":"Thomas","non-dropping-particle":"","parse-names":false,"suffix":""},{"dropping-particle":"","family":"Duscher","given":"Bernadette","non-dropping-particle":"","parse-names":false,"suffix":""},{"dropping-particle":"","family":"Gahleitner","given":"Markus","non-dropping-particle":"","parse-names":false,"suffix":""}],"container-title":"Polymers","id":"ITEM-1","issue":"13","issued":{"date-parts":[["2023"]]},"title":"Prospects for Recyclable Multilayer Packaging: A Case Study","type":"article-journal","volume":"15"},"uris":["http://www.mendeley.com/documents/?uuid=859ec661-bb31-4a75-9702-ac207ee2bde0"]}],"mendeley":{"formattedCitation":"[1]","plainTextFormattedCitation":"[1]","previouslyFormattedCitation":"[1]"},"properties":{"noteIndex":0},"schema":"https://github.com/citation-style-language/schema/raw/master/csl-citation.json"}</w:instrText>
      </w:r>
      <w:r w:rsidR="00C764B4">
        <w:rPr>
          <w:rFonts w:cs="Times New Roman"/>
          <w:sz w:val="22"/>
          <w:szCs w:val="22"/>
          <w:lang w:val="en-US"/>
        </w:rPr>
        <w:fldChar w:fldCharType="separate"/>
      </w:r>
      <w:r w:rsidR="00C764B4" w:rsidRPr="00C764B4">
        <w:rPr>
          <w:rFonts w:cs="Times New Roman"/>
          <w:noProof/>
          <w:sz w:val="22"/>
          <w:szCs w:val="22"/>
          <w:lang w:val="en-US"/>
        </w:rPr>
        <w:t>[1]</w:t>
      </w:r>
      <w:r w:rsidR="00C764B4">
        <w:rPr>
          <w:rFonts w:cs="Times New Roman"/>
          <w:sz w:val="22"/>
          <w:szCs w:val="22"/>
          <w:lang w:val="en-US"/>
        </w:rPr>
        <w:fldChar w:fldCharType="end"/>
      </w:r>
      <w:r w:rsidRPr="007A0BCF">
        <w:rPr>
          <w:rFonts w:cs="Times New Roman"/>
          <w:sz w:val="22"/>
          <w:szCs w:val="22"/>
          <w:lang w:val="en-US"/>
        </w:rPr>
        <w:t>. This has driven the development of techniques in recent years to harness the properties of plastics and reduce the amount of waste generated. In this context, sectors such as packaging, construction, and the design of composite materials for landfills demand products with high mechanical performance, durability, low cost, and environmental friendliness</w:t>
      </w:r>
      <w:r w:rsidR="00C764B4">
        <w:rPr>
          <w:rFonts w:cs="Times New Roman"/>
          <w:sz w:val="22"/>
          <w:szCs w:val="22"/>
          <w:lang w:val="en-US"/>
        </w:rPr>
        <w:t xml:space="preserve"> </w:t>
      </w:r>
      <w:r w:rsidR="004A7AB9">
        <w:rPr>
          <w:rFonts w:cs="Times New Roman"/>
          <w:sz w:val="22"/>
          <w:szCs w:val="22"/>
          <w:lang w:val="en-US"/>
        </w:rPr>
        <w:fldChar w:fldCharType="begin" w:fldLock="1"/>
      </w:r>
      <w:r w:rsidR="00E557B6">
        <w:rPr>
          <w:rFonts w:cs="Times New Roman"/>
          <w:sz w:val="22"/>
          <w:szCs w:val="22"/>
          <w:lang w:val="en-US"/>
        </w:rPr>
        <w:instrText>ADDIN CSL_CITATION {"citationItems":[{"id":"ITEM-1","itemData":{"DOI":"10.3390/polym12112517","ISSN":"20734360","abstract":"The weight of packaging materials will be increased with advanced innovations, such as multilayer plastic. The consequence of the advanced innovations is challenges in the following reuse activities. This study aimed to investigate the properties of multilayer plastic materials after recycling processes and will increase the awareness of plastic packaging material for reuse options. In this research, the materials were produced from food packages by crushing them and treating them with injection molding equipment. The implementation of materials in the processing was tested, and the structural and mechanical characteristics of the produced plastic materials was evaluated and discussed. Based on the completed tests, plastic materials used in food packages have the clearest differences in the material features, for instance, the melt flow rate and elongation rate in the tensile test that varied between 2.96–48.4 g/10min and 2–289 %, respectively. The variation in the characterizations ranged widely between the material structures. The results indicate that solid plastic packaging materials have better mechanical features compared to foil materials. The structural analysis of materials showed that multilayer plastic includes a wide spectrum of different elements within materials, creating a challenge for future recycling.","author":[{"dropping-particle":"","family":"Lahtela","given":"Ville","non-dropping-particle":"","parse-names":false,"suffix":""},{"dropping-particle":"","family":"Silwal","given":"Shekhar","non-dropping-particle":"","parse-names":false,"suffix":""},{"dropping-particle":"","family":"Kärki","given":"Timo","non-dropping-particle":"","parse-names":false,"suffix":""}],"container-title":"Polymers","id":"ITEM-1","issue":"11","issued":{"date-parts":[["2020"]]},"page":"1-10","title":"Re-processing of multilayer plastic materials as a part of the recycling process: The features of processed multilayer materials","type":"article-journal","volume":"12"},"uris":["http://www.mendeley.com/documents/?uuid=115f900b-e7b1-4fa7-945d-bd7f2171c008"]}],"mendeley":{"formattedCitation":"[2]","plainTextFormattedCitation":"[2]","previouslyFormattedCitation":"[2]"},"properties":{"noteIndex":0},"schema":"https://github.com/citation-style-language/schema/raw/master/csl-citation.json"}</w:instrText>
      </w:r>
      <w:r w:rsidR="004A7AB9">
        <w:rPr>
          <w:rFonts w:cs="Times New Roman"/>
          <w:sz w:val="22"/>
          <w:szCs w:val="22"/>
          <w:lang w:val="en-US"/>
        </w:rPr>
        <w:fldChar w:fldCharType="separate"/>
      </w:r>
      <w:r w:rsidR="004A7AB9" w:rsidRPr="004A7AB9">
        <w:rPr>
          <w:rFonts w:cs="Times New Roman"/>
          <w:noProof/>
          <w:sz w:val="22"/>
          <w:szCs w:val="22"/>
          <w:lang w:val="en-US"/>
        </w:rPr>
        <w:t>[2]</w:t>
      </w:r>
      <w:r w:rsidR="004A7AB9">
        <w:rPr>
          <w:rFonts w:cs="Times New Roman"/>
          <w:sz w:val="22"/>
          <w:szCs w:val="22"/>
          <w:lang w:val="en-US"/>
        </w:rPr>
        <w:fldChar w:fldCharType="end"/>
      </w:r>
      <w:r w:rsidRPr="007A0BCF">
        <w:rPr>
          <w:rFonts w:cs="Times New Roman"/>
          <w:sz w:val="22"/>
          <w:szCs w:val="22"/>
          <w:lang w:val="en-US"/>
        </w:rPr>
        <w:t>. However, the properties of these materials are inferior to those of commercial polymers like polyethylene (PE) and polypropylene (PP). For this reason, techniques such as extrusion and compression molding have enabled the creation of multilayer polymers, primarily using biopolymers, which contribute a degree of biodegradability to the materials</w:t>
      </w:r>
      <w:r w:rsidR="004A7AB9">
        <w:rPr>
          <w:rFonts w:cs="Times New Roman"/>
          <w:sz w:val="22"/>
          <w:szCs w:val="22"/>
          <w:lang w:val="en-US"/>
        </w:rPr>
        <w:t xml:space="preserve"> </w:t>
      </w:r>
      <w:r w:rsidR="00E557B6">
        <w:rPr>
          <w:rFonts w:cs="Times New Roman"/>
          <w:sz w:val="22"/>
          <w:szCs w:val="22"/>
          <w:lang w:val="en-US"/>
        </w:rPr>
        <w:fldChar w:fldCharType="begin" w:fldLock="1"/>
      </w:r>
      <w:r w:rsidR="00E557B6">
        <w:rPr>
          <w:rFonts w:cs="Times New Roman"/>
          <w:sz w:val="22"/>
          <w:szCs w:val="22"/>
          <w:lang w:val="en-US"/>
        </w:rPr>
        <w:instrText>ADDIN CSL_CITATION {"citationItems":[{"id":"ITEM-1","itemData":{"DOI":"10.1002/app.49101","ISSN":"10974628","abstract":"Mechanical recycling of multilayer plastic films from food packages was investigated. The multilayer films were manually separated from municipal solid waste, washed, grinded, and finally compounded at 0–100 wt% concentrations with virgin low-density polyethylene (PE-LD). Polyethylene grafted with maleic anhydride (PE-g-MA) compatibilizer was used in two of the compounds to replace 2 and 5 wt% of the PE-LD to study its effect as well. PE-g-MA is expected to improve the mechanical properties of the compounds by promoting the adhesion between incompatible polymer phases. The composition of the compounds was characterized with Fourier-transform infrared spectroscopy and differential scanning calorimetry and their properties were studied with tensile testing and rotational rheometer measurements. All tested compounds had relatively good mechanical properties and processability. This indicates that recycled multilayer films could replace at least part of the virgin PE-LD in applications where high-thermal stability or good visual appearance is not required. The PE-g-MA compatibilizer did not have a significant effect on the mechanical properties of the compounds.","author":[{"dropping-particle":"","family":"Jönkkäri","given":"Ilari","non-dropping-particle":"","parse-names":false,"suffix":""},{"dropping-particle":"","family":"Poliakova","given":"Valeria","non-dropping-particle":"","parse-names":false,"suffix":""},{"dropping-particle":"","family":"Mylläri","given":"Ville","non-dropping-particle":"","parse-names":false,"suffix":""},{"dropping-particle":"","family":"Anderson","given":"Reetta","non-dropping-particle":"","parse-names":false,"suffix":""},{"dropping-particle":"","family":"Andersson","given":"Mirja","non-dropping-particle":"","parse-names":false,"suffix":""},{"dropping-particle":"","family":"Vuorinen","given":"Jyrki","non-dropping-particle":"","parse-names":false,"suffix":""}],"container-title":"Journal of Applied Polymer Science","id":"ITEM-1","issue":"37","issued":{"date-parts":[["2020"]]},"title":"Compounding and characterization of recycled multilayer plastic films","type":"article-journal","volume":"137"},"uris":["http://www.mendeley.com/documents/?uuid=bf192bfd-1a4b-480e-a0a9-65741513cc7a"]}],"mendeley":{"formattedCitation":"[3]","plainTextFormattedCitation":"[3]","previouslyFormattedCitation":"[3]"},"properties":{"noteIndex":0},"schema":"https://github.com/citation-style-language/schema/raw/master/csl-citation.json"}</w:instrText>
      </w:r>
      <w:r w:rsidR="00E557B6">
        <w:rPr>
          <w:rFonts w:cs="Times New Roman"/>
          <w:sz w:val="22"/>
          <w:szCs w:val="22"/>
          <w:lang w:val="en-US"/>
        </w:rPr>
        <w:fldChar w:fldCharType="separate"/>
      </w:r>
      <w:r w:rsidR="00E557B6" w:rsidRPr="00E557B6">
        <w:rPr>
          <w:rFonts w:cs="Times New Roman"/>
          <w:noProof/>
          <w:sz w:val="22"/>
          <w:szCs w:val="22"/>
          <w:lang w:val="en-US"/>
        </w:rPr>
        <w:t>[3]</w:t>
      </w:r>
      <w:r w:rsidR="00E557B6">
        <w:rPr>
          <w:rFonts w:cs="Times New Roman"/>
          <w:sz w:val="22"/>
          <w:szCs w:val="22"/>
          <w:lang w:val="en-US"/>
        </w:rPr>
        <w:fldChar w:fldCharType="end"/>
      </w:r>
      <w:r w:rsidRPr="007A0BCF">
        <w:rPr>
          <w:rFonts w:cs="Times New Roman"/>
          <w:sz w:val="22"/>
          <w:szCs w:val="22"/>
          <w:lang w:val="en-US"/>
        </w:rPr>
        <w:t>.</w:t>
      </w:r>
    </w:p>
    <w:p w14:paraId="215A46B0" w14:textId="7DF7D68A" w:rsidR="00B72F5D" w:rsidRDefault="00B72F5D" w:rsidP="00097168">
      <w:pPr>
        <w:jc w:val="both"/>
        <w:rPr>
          <w:rFonts w:cs="Times New Roman"/>
          <w:b/>
          <w:bCs/>
          <w:sz w:val="22"/>
          <w:szCs w:val="22"/>
          <w:lang w:val="ro-RO"/>
        </w:rPr>
      </w:pPr>
      <w:proofErr w:type="spellStart"/>
      <w:r w:rsidRPr="00B72F5D">
        <w:rPr>
          <w:rFonts w:cs="Times New Roman"/>
          <w:b/>
          <w:bCs/>
          <w:sz w:val="22"/>
          <w:szCs w:val="22"/>
          <w:lang w:val="ro-RO"/>
        </w:rPr>
        <w:t>Methodology</w:t>
      </w:r>
      <w:proofErr w:type="spellEnd"/>
    </w:p>
    <w:p w14:paraId="51075E42" w14:textId="57C3E312" w:rsidR="00D00070" w:rsidRPr="007934A1" w:rsidRDefault="00A50D1C" w:rsidP="00097168">
      <w:pPr>
        <w:jc w:val="both"/>
        <w:rPr>
          <w:noProof/>
          <w:sz w:val="22"/>
          <w:szCs w:val="22"/>
        </w:rPr>
      </w:pPr>
      <w:r w:rsidRPr="00BF0806">
        <w:rPr>
          <w:noProof/>
          <w:sz w:val="22"/>
          <w:szCs w:val="22"/>
          <w:lang w:val="en-US"/>
        </w:rPr>
        <w:t xml:space="preserve">The experimentation was planned using the Taguchi method, with recycled and virgin polypropylene and polyethylene mixed in different proportions. </w:t>
      </w:r>
      <w:r w:rsidRPr="00BF0806">
        <w:rPr>
          <w:noProof/>
          <w:sz w:val="22"/>
          <w:szCs w:val="22"/>
        </w:rPr>
        <w:t>The goal was to identify the optimal combination of materials and to obtain PP and</w:t>
      </w:r>
      <w:r w:rsidRPr="00C92D8F">
        <w:rPr>
          <w:noProof/>
          <w:sz w:val="22"/>
          <w:szCs w:val="22"/>
        </w:rPr>
        <w:t xml:space="preserve"> PE films that  achieve a would balance requirements, performance, and cost. A TeachLine ZK25 extruder was used to prepare the blends. Similarly, a Collin TeachLine E20T single-screw blow extruder was employed to produce films for each blend. The blends were characterized thermally using DSC, mechanically through tensile tests, and their barrier properties and melt flow index were analyzed. Furthermore, the morphology of films was analyzed using scanning electron microscopy (SEM).</w:t>
      </w:r>
    </w:p>
    <w:p w14:paraId="5BDF4186" w14:textId="10EB02B5" w:rsidR="00AE1A8A" w:rsidRPr="00F244EB" w:rsidRDefault="009A6657" w:rsidP="005114C6">
      <w:pPr>
        <w:rPr>
          <w:rFonts w:cs="Times New Roman"/>
          <w:bCs/>
          <w:lang w:val="en-US" w:eastAsia="fr-FR"/>
        </w:rPr>
      </w:pPr>
      <w:r>
        <w:rPr>
          <w:noProof/>
        </w:rPr>
        <w:drawing>
          <wp:anchor distT="0" distB="0" distL="114300" distR="114300" simplePos="0" relativeHeight="251658240" behindDoc="0" locked="0" layoutInCell="1" allowOverlap="1" wp14:anchorId="7BC68C00" wp14:editId="477A6CF2">
            <wp:simplePos x="0" y="0"/>
            <wp:positionH relativeFrom="margin">
              <wp:posOffset>426720</wp:posOffset>
            </wp:positionH>
            <wp:positionV relativeFrom="paragraph">
              <wp:posOffset>160020</wp:posOffset>
            </wp:positionV>
            <wp:extent cx="5135880" cy="685800"/>
            <wp:effectExtent l="0" t="0" r="7620" b="0"/>
            <wp:wrapTopAndBottom/>
            <wp:docPr id="195063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3658" name=""/>
                    <pic:cNvPicPr/>
                  </pic:nvPicPr>
                  <pic:blipFill rotWithShape="1">
                    <a:blip r:embed="rId8"/>
                    <a:srcRect t="16000" b="12000"/>
                    <a:stretch/>
                  </pic:blipFill>
                  <pic:spPr bwMode="auto">
                    <a:xfrm>
                      <a:off x="0" y="0"/>
                      <a:ext cx="513588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4EB" w:rsidRPr="00F244EB">
        <w:rPr>
          <w:noProof/>
          <w:lang w:val="en-US"/>
        </w:rPr>
        <w:t>Figure 1. Recycling and plastic treatment process as polymeric material for film production.</w:t>
      </w:r>
    </w:p>
    <w:p w14:paraId="65A3FC30" w14:textId="06DBAC36" w:rsidR="001E25E0" w:rsidRPr="00EF538F" w:rsidRDefault="001E25E0" w:rsidP="00215FB4">
      <w:pPr>
        <w:rPr>
          <w:rFonts w:cs="Times New Roman"/>
          <w:b/>
          <w:sz w:val="22"/>
          <w:szCs w:val="22"/>
          <w:lang w:val="ro-RO" w:eastAsia="fr-FR"/>
        </w:rPr>
      </w:pPr>
      <w:proofErr w:type="spellStart"/>
      <w:r>
        <w:rPr>
          <w:rFonts w:cs="Times New Roman"/>
          <w:b/>
          <w:sz w:val="22"/>
          <w:szCs w:val="22"/>
          <w:lang w:val="ro-RO" w:eastAsia="fr-FR"/>
        </w:rPr>
        <w:t>R</w:t>
      </w:r>
      <w:r w:rsidR="0056723B">
        <w:rPr>
          <w:rFonts w:cs="Times New Roman"/>
          <w:b/>
          <w:sz w:val="22"/>
          <w:szCs w:val="22"/>
          <w:lang w:val="ro-RO" w:eastAsia="fr-FR"/>
        </w:rPr>
        <w:t>esults</w:t>
      </w:r>
      <w:proofErr w:type="spellEnd"/>
    </w:p>
    <w:p w14:paraId="031B44D0" w14:textId="2A0FB8FB" w:rsidR="0056723B" w:rsidRDefault="00C72183" w:rsidP="00C72183">
      <w:pPr>
        <w:jc w:val="both"/>
        <w:rPr>
          <w:rFonts w:cs="Times New Roman"/>
          <w:bCs/>
          <w:sz w:val="22"/>
          <w:szCs w:val="22"/>
          <w:lang w:val="en-US" w:eastAsia="fr-FR"/>
        </w:rPr>
      </w:pPr>
      <w:r w:rsidRPr="00C72183">
        <w:rPr>
          <w:rFonts w:cs="Times New Roman"/>
          <w:bCs/>
          <w:sz w:val="22"/>
          <w:szCs w:val="22"/>
          <w:lang w:val="en-US" w:eastAsia="fr-FR"/>
        </w:rPr>
        <w:t xml:space="preserve">Within the obtained results, different polymer blends of both PE and PP </w:t>
      </w:r>
      <w:proofErr w:type="gramStart"/>
      <w:r w:rsidRPr="00C72183">
        <w:rPr>
          <w:rFonts w:cs="Times New Roman"/>
          <w:bCs/>
          <w:sz w:val="22"/>
          <w:szCs w:val="22"/>
          <w:lang w:val="en-US" w:eastAsia="fr-FR"/>
        </w:rPr>
        <w:t>were made</w:t>
      </w:r>
      <w:proofErr w:type="gramEnd"/>
      <w:r w:rsidRPr="00C72183">
        <w:rPr>
          <w:rFonts w:cs="Times New Roman"/>
          <w:bCs/>
          <w:sz w:val="22"/>
          <w:szCs w:val="22"/>
          <w:lang w:val="en-US" w:eastAsia="fr-FR"/>
        </w:rPr>
        <w:t xml:space="preserve"> in various concentrations, both in the perpendicular direction to this, determining which have the best tensile properties of the material. Additionally, thermal transitions of each of the blends </w:t>
      </w:r>
      <w:proofErr w:type="gramStart"/>
      <w:r w:rsidRPr="00C72183">
        <w:rPr>
          <w:rFonts w:cs="Times New Roman"/>
          <w:bCs/>
          <w:sz w:val="22"/>
          <w:szCs w:val="22"/>
          <w:lang w:val="en-US" w:eastAsia="fr-FR"/>
        </w:rPr>
        <w:t>were analyzed</w:t>
      </w:r>
      <w:proofErr w:type="gramEnd"/>
      <w:r w:rsidRPr="00C72183">
        <w:rPr>
          <w:rFonts w:cs="Times New Roman"/>
          <w:bCs/>
          <w:sz w:val="22"/>
          <w:szCs w:val="22"/>
          <w:lang w:val="en-US" w:eastAsia="fr-FR"/>
        </w:rPr>
        <w:t xml:space="preserve"> using DSC, confirming that they correspond to the information reported in the literature. Moreover, different melt flow index tests </w:t>
      </w:r>
      <w:proofErr w:type="gramStart"/>
      <w:r w:rsidRPr="00C72183">
        <w:rPr>
          <w:rFonts w:cs="Times New Roman"/>
          <w:bCs/>
          <w:sz w:val="22"/>
          <w:szCs w:val="22"/>
          <w:lang w:val="en-US" w:eastAsia="fr-FR"/>
        </w:rPr>
        <w:t>were conducted</w:t>
      </w:r>
      <w:proofErr w:type="gramEnd"/>
      <w:r w:rsidRPr="00C72183">
        <w:rPr>
          <w:rFonts w:cs="Times New Roman"/>
          <w:bCs/>
          <w:sz w:val="22"/>
          <w:szCs w:val="22"/>
          <w:lang w:val="en-US" w:eastAsia="fr-FR"/>
        </w:rPr>
        <w:t xml:space="preserve"> to verify and introduce the optimal variable for its manufacturing into the experimentation.</w:t>
      </w:r>
      <w:r w:rsidR="009A6657">
        <w:rPr>
          <w:rFonts w:cs="Times New Roman"/>
          <w:bCs/>
          <w:sz w:val="22"/>
          <w:szCs w:val="22"/>
          <w:lang w:val="en-US" w:eastAsia="fr-FR"/>
        </w:rPr>
        <w:t xml:space="preserve"> </w:t>
      </w:r>
      <w:r w:rsidR="00DB22AB" w:rsidRPr="00DB22AB">
        <w:rPr>
          <w:rFonts w:cs="Times New Roman"/>
          <w:bCs/>
          <w:sz w:val="22"/>
          <w:szCs w:val="22"/>
          <w:lang w:val="en-US" w:eastAsia="fr-FR"/>
        </w:rPr>
        <w:t xml:space="preserve">In terms of their barrier properties, </w:t>
      </w:r>
      <w:r w:rsidR="00320FE7">
        <w:rPr>
          <w:rFonts w:cs="Times New Roman"/>
          <w:bCs/>
          <w:sz w:val="22"/>
          <w:szCs w:val="22"/>
          <w:lang w:val="en-US" w:eastAsia="fr-FR"/>
        </w:rPr>
        <w:t>PP</w:t>
      </w:r>
      <w:r w:rsidR="00DB22AB" w:rsidRPr="00DB22AB">
        <w:rPr>
          <w:rFonts w:cs="Times New Roman"/>
          <w:bCs/>
          <w:sz w:val="22"/>
          <w:szCs w:val="22"/>
          <w:lang w:val="en-US" w:eastAsia="fr-FR"/>
        </w:rPr>
        <w:t xml:space="preserve"> provides a good barrier to gases and chemical resistance, while polyethylene stands out for its excellent moisture barrier and flexibility.</w:t>
      </w:r>
    </w:p>
    <w:p w14:paraId="3DBDD672" w14:textId="53EAC1E0" w:rsidR="005E79F6" w:rsidRPr="005E79F6" w:rsidRDefault="00116CB2" w:rsidP="005E79F6">
      <w:pPr>
        <w:rPr>
          <w:rFonts w:cs="Times New Roman"/>
          <w:b/>
          <w:sz w:val="22"/>
          <w:szCs w:val="22"/>
          <w:lang w:val="en-US" w:eastAsia="fr-FR"/>
        </w:rPr>
      </w:pPr>
      <w:r w:rsidRPr="00116CB2">
        <w:rPr>
          <w:rFonts w:cs="Times New Roman"/>
          <w:b/>
          <w:sz w:val="22"/>
          <w:szCs w:val="22"/>
          <w:lang w:val="en-US" w:eastAsia="fr-FR"/>
        </w:rPr>
        <w:t>Conclusions</w:t>
      </w:r>
    </w:p>
    <w:p w14:paraId="3CA7E988" w14:textId="77777777" w:rsidR="005F6822" w:rsidRDefault="005F6822" w:rsidP="00836731">
      <w:pPr>
        <w:jc w:val="both"/>
        <w:rPr>
          <w:rFonts w:cs="Times New Roman"/>
          <w:sz w:val="22"/>
          <w:szCs w:val="22"/>
          <w:lang w:val="ro-RO" w:eastAsia="fr-FR"/>
        </w:rPr>
      </w:pPr>
      <w:r w:rsidRPr="005F6822">
        <w:rPr>
          <w:rFonts w:cs="Times New Roman"/>
          <w:sz w:val="22"/>
          <w:szCs w:val="22"/>
          <w:lang w:val="ro-RO" w:eastAsia="fr-FR"/>
        </w:rPr>
        <w:t xml:space="preserve">The </w:t>
      </w:r>
      <w:proofErr w:type="spellStart"/>
      <w:r w:rsidRPr="005F6822">
        <w:rPr>
          <w:rFonts w:cs="Times New Roman"/>
          <w:sz w:val="22"/>
          <w:szCs w:val="22"/>
          <w:lang w:val="ro-RO" w:eastAsia="fr-FR"/>
        </w:rPr>
        <w:t>use</w:t>
      </w:r>
      <w:proofErr w:type="spellEnd"/>
      <w:r w:rsidRPr="005F6822">
        <w:rPr>
          <w:rFonts w:cs="Times New Roman"/>
          <w:sz w:val="22"/>
          <w:szCs w:val="22"/>
          <w:lang w:val="ro-RO" w:eastAsia="fr-FR"/>
        </w:rPr>
        <w:t xml:space="preserve"> of </w:t>
      </w:r>
      <w:proofErr w:type="spellStart"/>
      <w:r w:rsidRPr="005F6822">
        <w:rPr>
          <w:rFonts w:cs="Times New Roman"/>
          <w:sz w:val="22"/>
          <w:szCs w:val="22"/>
          <w:lang w:val="ro-RO" w:eastAsia="fr-FR"/>
        </w:rPr>
        <w:t>techniques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such</w:t>
      </w:r>
      <w:proofErr w:type="spellEnd"/>
      <w:r w:rsidRPr="005F6822">
        <w:rPr>
          <w:rFonts w:cs="Times New Roman"/>
          <w:sz w:val="22"/>
          <w:szCs w:val="22"/>
          <w:lang w:val="ro-RO" w:eastAsia="fr-FR"/>
        </w:rPr>
        <w:t xml:space="preserve"> as </w:t>
      </w:r>
      <w:proofErr w:type="spellStart"/>
      <w:r w:rsidRPr="005F6822">
        <w:rPr>
          <w:rFonts w:cs="Times New Roman"/>
          <w:sz w:val="22"/>
          <w:szCs w:val="22"/>
          <w:lang w:val="ro-RO" w:eastAsia="fr-FR"/>
        </w:rPr>
        <w:t>compression</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molding</w:t>
      </w:r>
      <w:proofErr w:type="spellEnd"/>
      <w:r w:rsidRPr="005F6822">
        <w:rPr>
          <w:rFonts w:cs="Times New Roman"/>
          <w:sz w:val="22"/>
          <w:szCs w:val="22"/>
          <w:lang w:val="ro-RO" w:eastAsia="fr-FR"/>
        </w:rPr>
        <w:t xml:space="preserve"> of </w:t>
      </w:r>
      <w:proofErr w:type="spellStart"/>
      <w:r w:rsidRPr="005F6822">
        <w:rPr>
          <w:rFonts w:cs="Times New Roman"/>
          <w:sz w:val="22"/>
          <w:szCs w:val="22"/>
          <w:lang w:val="ro-RO" w:eastAsia="fr-FR"/>
        </w:rPr>
        <w:t>polymer</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films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obtained</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through</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Bowl</w:t>
      </w:r>
      <w:proofErr w:type="spellEnd"/>
      <w:r w:rsidRPr="005F6822">
        <w:rPr>
          <w:rFonts w:cs="Times New Roman"/>
          <w:sz w:val="22"/>
          <w:szCs w:val="22"/>
          <w:lang w:val="ro-RO" w:eastAsia="fr-FR"/>
        </w:rPr>
        <w:t xml:space="preserve"> Film </w:t>
      </w:r>
      <w:proofErr w:type="spellStart"/>
      <w:r w:rsidRPr="005F6822">
        <w:rPr>
          <w:rFonts w:cs="Times New Roman"/>
          <w:sz w:val="22"/>
          <w:szCs w:val="22"/>
          <w:lang w:val="ro-RO" w:eastAsia="fr-FR"/>
        </w:rPr>
        <w:t>using</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recycled</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materials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is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presented</w:t>
      </w:r>
      <w:proofErr w:type="spellEnd"/>
      <w:r w:rsidRPr="005F6822">
        <w:rPr>
          <w:rFonts w:cs="Times New Roman"/>
          <w:sz w:val="22"/>
          <w:szCs w:val="22"/>
          <w:lang w:val="ro-RO" w:eastAsia="fr-FR"/>
        </w:rPr>
        <w:t xml:space="preserve"> as a </w:t>
      </w:r>
      <w:proofErr w:type="spellStart"/>
      <w:r w:rsidRPr="005F6822">
        <w:rPr>
          <w:rFonts w:cs="Times New Roman"/>
          <w:sz w:val="22"/>
          <w:szCs w:val="22"/>
          <w:lang w:val="ro-RO" w:eastAsia="fr-FR"/>
        </w:rPr>
        <w:t>viable</w:t>
      </w:r>
      <w:proofErr w:type="spellEnd"/>
      <w:r w:rsidRPr="005F6822">
        <w:rPr>
          <w:rFonts w:cs="Times New Roman"/>
          <w:sz w:val="22"/>
          <w:szCs w:val="22"/>
          <w:lang w:val="ro-RO" w:eastAsia="fr-FR"/>
        </w:rPr>
        <w:t xml:space="preserve"> alternative in </w:t>
      </w:r>
      <w:proofErr w:type="spellStart"/>
      <w:r w:rsidRPr="005F6822">
        <w:rPr>
          <w:rFonts w:cs="Times New Roman"/>
          <w:sz w:val="22"/>
          <w:szCs w:val="22"/>
          <w:lang w:val="ro-RO" w:eastAsia="fr-FR"/>
        </w:rPr>
        <w:t>various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sectors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This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method</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takes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advantage</w:t>
      </w:r>
      <w:proofErr w:type="spellEnd"/>
      <w:r w:rsidRPr="005F6822">
        <w:rPr>
          <w:rFonts w:cs="Times New Roman"/>
          <w:sz w:val="22"/>
          <w:szCs w:val="22"/>
          <w:lang w:val="ro-RO" w:eastAsia="fr-FR"/>
        </w:rPr>
        <w:t xml:space="preserve"> of </w:t>
      </w:r>
      <w:proofErr w:type="spellStart"/>
      <w:r w:rsidRPr="005F6822">
        <w:rPr>
          <w:rFonts w:cs="Times New Roman"/>
          <w:sz w:val="22"/>
          <w:szCs w:val="22"/>
          <w:lang w:val="ro-RO" w:eastAsia="fr-FR"/>
        </w:rPr>
        <w:t>the</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combination</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with</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commercial</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polymers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like</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polypropylene</w:t>
      </w:r>
      <w:proofErr w:type="spellEnd"/>
      <w:r w:rsidRPr="005F6822">
        <w:rPr>
          <w:rFonts w:cs="Times New Roman"/>
          <w:sz w:val="22"/>
          <w:szCs w:val="22"/>
          <w:lang w:val="ro-RO" w:eastAsia="fr-FR"/>
        </w:rPr>
        <w:t xml:space="preserve"> (PP) for </w:t>
      </w:r>
      <w:proofErr w:type="spellStart"/>
      <w:r w:rsidRPr="005F6822">
        <w:rPr>
          <w:rFonts w:cs="Times New Roman"/>
          <w:sz w:val="22"/>
          <w:szCs w:val="22"/>
          <w:lang w:val="ro-RO" w:eastAsia="fr-FR"/>
        </w:rPr>
        <w:t>its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barrier</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properties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and</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polyethylene</w:t>
      </w:r>
      <w:proofErr w:type="spellEnd"/>
      <w:r w:rsidRPr="005F6822">
        <w:rPr>
          <w:rFonts w:cs="Times New Roman"/>
          <w:sz w:val="22"/>
          <w:szCs w:val="22"/>
          <w:lang w:val="ro-RO" w:eastAsia="fr-FR"/>
        </w:rPr>
        <w:t xml:space="preserve"> (PE) for </w:t>
      </w:r>
      <w:proofErr w:type="spellStart"/>
      <w:r w:rsidRPr="005F6822">
        <w:rPr>
          <w:rFonts w:cs="Times New Roman"/>
          <w:sz w:val="22"/>
          <w:szCs w:val="22"/>
          <w:lang w:val="ro-RO" w:eastAsia="fr-FR"/>
        </w:rPr>
        <w:t>its</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compatibility</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and</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mechanical</w:t>
      </w:r>
      <w:proofErr w:type="spellEnd"/>
      <w:r w:rsidRPr="005F6822">
        <w:rPr>
          <w:rFonts w:cs="Times New Roman"/>
          <w:sz w:val="22"/>
          <w:szCs w:val="22"/>
          <w:lang w:val="ro-RO" w:eastAsia="fr-FR"/>
        </w:rPr>
        <w:t xml:space="preserve"> </w:t>
      </w:r>
      <w:proofErr w:type="spellStart"/>
      <w:r w:rsidRPr="005F6822">
        <w:rPr>
          <w:rFonts w:cs="Times New Roman"/>
          <w:sz w:val="22"/>
          <w:szCs w:val="22"/>
          <w:lang w:val="ro-RO" w:eastAsia="fr-FR"/>
        </w:rPr>
        <w:t>strength</w:t>
      </w:r>
      <w:proofErr w:type="spellEnd"/>
      <w:r w:rsidRPr="005F6822">
        <w:rPr>
          <w:rFonts w:cs="Times New Roman"/>
          <w:sz w:val="22"/>
          <w:szCs w:val="22"/>
          <w:lang w:val="ro-RO" w:eastAsia="fr-FR"/>
        </w:rPr>
        <w:t>.</w:t>
      </w:r>
    </w:p>
    <w:p w14:paraId="3AA00618" w14:textId="695FAEBA" w:rsidR="00D612B4" w:rsidRPr="00DE5C4E" w:rsidRDefault="00D73342" w:rsidP="00836731">
      <w:pPr>
        <w:jc w:val="both"/>
        <w:rPr>
          <w:rFonts w:cs="Times New Roman"/>
          <w:bCs/>
          <w:lang w:val="ro-RO" w:eastAsia="fr-FR"/>
        </w:rPr>
      </w:pPr>
      <w:proofErr w:type="spellStart"/>
      <w:r w:rsidRPr="00D837CA">
        <w:rPr>
          <w:rFonts w:cs="Times New Roman"/>
          <w:b/>
          <w:lang w:val="ro-RO" w:eastAsia="fr-FR"/>
        </w:rPr>
        <w:t>Acknowledgments</w:t>
      </w:r>
      <w:proofErr w:type="spellEnd"/>
      <w:r w:rsidRPr="00D837CA">
        <w:rPr>
          <w:rFonts w:cs="Times New Roman"/>
          <w:b/>
          <w:lang w:val="ro-RO" w:eastAsia="fr-FR"/>
        </w:rPr>
        <w:t>:</w:t>
      </w:r>
      <w:r w:rsidR="00D837CA">
        <w:rPr>
          <w:rFonts w:cs="Times New Roman"/>
          <w:bCs/>
          <w:lang w:val="ro-RO" w:eastAsia="fr-FR"/>
        </w:rPr>
        <w:t xml:space="preserve"> </w:t>
      </w:r>
      <w:proofErr w:type="spellStart"/>
      <w:r w:rsidR="00292E86" w:rsidRPr="00292E86">
        <w:rPr>
          <w:rFonts w:cs="Times New Roman"/>
          <w:bCs/>
          <w:lang w:val="ro-RO" w:eastAsia="fr-FR"/>
        </w:rPr>
        <w:t>To</w:t>
      </w:r>
      <w:proofErr w:type="spellEnd"/>
      <w:r w:rsidR="00292E86" w:rsidRPr="00292E86">
        <w:rPr>
          <w:rFonts w:cs="Times New Roman"/>
          <w:bCs/>
          <w:lang w:val="ro-RO" w:eastAsia="fr-FR"/>
        </w:rPr>
        <w:t xml:space="preserve"> </w:t>
      </w:r>
      <w:proofErr w:type="spellStart"/>
      <w:r w:rsidR="00292E86" w:rsidRPr="00292E86">
        <w:rPr>
          <w:rFonts w:cs="Times New Roman"/>
          <w:bCs/>
          <w:lang w:val="ro-RO" w:eastAsia="fr-FR"/>
        </w:rPr>
        <w:t>the</w:t>
      </w:r>
      <w:proofErr w:type="spellEnd"/>
      <w:r w:rsidR="00292E86" w:rsidRPr="00292E86">
        <w:rPr>
          <w:rFonts w:cs="Times New Roman"/>
          <w:bCs/>
          <w:lang w:val="ro-RO" w:eastAsia="fr-FR"/>
        </w:rPr>
        <w:t xml:space="preserve"> </w:t>
      </w:r>
      <w:proofErr w:type="spellStart"/>
      <w:r w:rsidR="00292E86" w:rsidRPr="00292E86">
        <w:rPr>
          <w:rFonts w:cs="Times New Roman"/>
          <w:bCs/>
          <w:lang w:val="ro-RO" w:eastAsia="fr-FR"/>
        </w:rPr>
        <w:t>Polymat</w:t>
      </w:r>
      <w:proofErr w:type="spellEnd"/>
      <w:r w:rsidR="00292E86" w:rsidRPr="00292E86">
        <w:rPr>
          <w:rFonts w:cs="Times New Roman"/>
          <w:bCs/>
          <w:lang w:val="ro-RO" w:eastAsia="fr-FR"/>
        </w:rPr>
        <w:t xml:space="preserve"> Center for </w:t>
      </w:r>
      <w:proofErr w:type="spellStart"/>
      <w:r w:rsidR="00292E86" w:rsidRPr="00292E86">
        <w:rPr>
          <w:rFonts w:cs="Times New Roman"/>
          <w:bCs/>
          <w:lang w:val="ro-RO" w:eastAsia="fr-FR"/>
        </w:rPr>
        <w:t>providing</w:t>
      </w:r>
      <w:proofErr w:type="spellEnd"/>
      <w:r w:rsidR="00292E86" w:rsidRPr="00292E86">
        <w:rPr>
          <w:rFonts w:cs="Times New Roman"/>
          <w:bCs/>
          <w:lang w:val="ro-RO" w:eastAsia="fr-FR"/>
        </w:rPr>
        <w:t xml:space="preserve"> </w:t>
      </w:r>
      <w:proofErr w:type="spellStart"/>
      <w:r w:rsidR="00292E86" w:rsidRPr="00292E86">
        <w:rPr>
          <w:rFonts w:cs="Times New Roman"/>
          <w:bCs/>
          <w:lang w:val="ro-RO" w:eastAsia="fr-FR"/>
        </w:rPr>
        <w:t>equipment</w:t>
      </w:r>
      <w:proofErr w:type="spellEnd"/>
      <w:r w:rsidR="00292E86" w:rsidRPr="00292E86">
        <w:rPr>
          <w:rFonts w:cs="Times New Roman"/>
          <w:bCs/>
          <w:lang w:val="ro-RO" w:eastAsia="fr-FR"/>
        </w:rPr>
        <w:t xml:space="preserve"> </w:t>
      </w:r>
      <w:proofErr w:type="spellStart"/>
      <w:r w:rsidR="00292E86" w:rsidRPr="00292E86">
        <w:rPr>
          <w:rFonts w:cs="Times New Roman"/>
          <w:bCs/>
          <w:lang w:val="ro-RO" w:eastAsia="fr-FR"/>
        </w:rPr>
        <w:t>and</w:t>
      </w:r>
      <w:proofErr w:type="spellEnd"/>
      <w:r w:rsidR="00292E86" w:rsidRPr="00292E86">
        <w:rPr>
          <w:rFonts w:cs="Times New Roman"/>
          <w:bCs/>
          <w:lang w:val="ro-RO" w:eastAsia="fr-FR"/>
        </w:rPr>
        <w:t xml:space="preserve"> </w:t>
      </w:r>
      <w:proofErr w:type="spellStart"/>
      <w:r w:rsidR="00292E86" w:rsidRPr="00292E86">
        <w:rPr>
          <w:rFonts w:cs="Times New Roman"/>
          <w:bCs/>
          <w:lang w:val="ro-RO" w:eastAsia="fr-FR"/>
        </w:rPr>
        <w:t>materials</w:t>
      </w:r>
      <w:proofErr w:type="spellEnd"/>
      <w:r w:rsidR="005F6822">
        <w:rPr>
          <w:rFonts w:cs="Times New Roman"/>
          <w:bCs/>
          <w:lang w:val="ro-RO" w:eastAsia="fr-FR"/>
        </w:rPr>
        <w:t>.</w:t>
      </w:r>
    </w:p>
    <w:p w14:paraId="063FE974" w14:textId="2B0AAA2D" w:rsidR="00DE5C4E" w:rsidRPr="009A6657" w:rsidRDefault="00D837CA" w:rsidP="00836731">
      <w:pPr>
        <w:jc w:val="both"/>
        <w:rPr>
          <w:rFonts w:cs="Times New Roman"/>
          <w:b/>
          <w:lang w:val="ro-RO" w:eastAsia="fr-FR"/>
        </w:rPr>
      </w:pPr>
      <w:proofErr w:type="spellStart"/>
      <w:r w:rsidRPr="009A6657">
        <w:rPr>
          <w:rFonts w:cs="Times New Roman"/>
          <w:b/>
          <w:lang w:val="ro-RO" w:eastAsia="fr-FR"/>
        </w:rPr>
        <w:t>References</w:t>
      </w:r>
      <w:proofErr w:type="spellEnd"/>
      <w:r w:rsidRPr="009A6657">
        <w:rPr>
          <w:rFonts w:cs="Times New Roman"/>
          <w:b/>
          <w:lang w:val="ro-RO" w:eastAsia="fr-FR"/>
        </w:rPr>
        <w:t>:</w:t>
      </w:r>
    </w:p>
    <w:p w14:paraId="1939609F" w14:textId="5DA9341B" w:rsidR="00E557B6" w:rsidRPr="00E557B6" w:rsidRDefault="00E557B6" w:rsidP="00836731">
      <w:pPr>
        <w:widowControl w:val="0"/>
        <w:autoSpaceDE w:val="0"/>
        <w:autoSpaceDN w:val="0"/>
        <w:adjustRightInd w:val="0"/>
        <w:ind w:left="640" w:hanging="640"/>
        <w:jc w:val="both"/>
        <w:rPr>
          <w:noProof/>
        </w:rPr>
      </w:pPr>
      <w:r>
        <w:rPr>
          <w:rFonts w:cs="Times New Roman"/>
          <w:bCs/>
          <w:i/>
          <w:iCs/>
          <w:lang w:val="ro-RO" w:eastAsia="fr-FR"/>
        </w:rPr>
        <w:fldChar w:fldCharType="begin" w:fldLock="1"/>
      </w:r>
      <w:r>
        <w:rPr>
          <w:rFonts w:cs="Times New Roman"/>
          <w:bCs/>
          <w:i/>
          <w:iCs/>
          <w:lang w:val="ro-RO" w:eastAsia="fr-FR"/>
        </w:rPr>
        <w:instrText xml:space="preserve">ADDIN Mendeley Bibliography CSL_BIBLIOGRAPHY </w:instrText>
      </w:r>
      <w:r>
        <w:rPr>
          <w:rFonts w:cs="Times New Roman"/>
          <w:bCs/>
          <w:i/>
          <w:iCs/>
          <w:lang w:val="ro-RO" w:eastAsia="fr-FR"/>
        </w:rPr>
        <w:fldChar w:fldCharType="separate"/>
      </w:r>
      <w:r w:rsidRPr="00E557B6">
        <w:rPr>
          <w:noProof/>
        </w:rPr>
        <w:t>[1]</w:t>
      </w:r>
      <w:r w:rsidRPr="00E557B6">
        <w:rPr>
          <w:noProof/>
        </w:rPr>
        <w:tab/>
        <w:t xml:space="preserve">M. Seier, V. M. Archodoulaki, T. Koch, B. Duscher, and M. Gahleitner, “Prospects for Recyclable Multilayer Packaging: A Case Study,” </w:t>
      </w:r>
      <w:r w:rsidRPr="00E557B6">
        <w:rPr>
          <w:i/>
          <w:iCs/>
          <w:noProof/>
        </w:rPr>
        <w:t>Polymers (Basel).</w:t>
      </w:r>
      <w:r w:rsidRPr="00E557B6">
        <w:rPr>
          <w:noProof/>
        </w:rPr>
        <w:t>, vol. 15, no. 13, 2023, doi: 10.3390/polym15132966.</w:t>
      </w:r>
    </w:p>
    <w:p w14:paraId="493C704E" w14:textId="77777777" w:rsidR="00E557B6" w:rsidRPr="00E557B6" w:rsidRDefault="00E557B6" w:rsidP="00836731">
      <w:pPr>
        <w:widowControl w:val="0"/>
        <w:autoSpaceDE w:val="0"/>
        <w:autoSpaceDN w:val="0"/>
        <w:adjustRightInd w:val="0"/>
        <w:ind w:left="640" w:hanging="640"/>
        <w:jc w:val="both"/>
        <w:rPr>
          <w:noProof/>
        </w:rPr>
      </w:pPr>
      <w:r w:rsidRPr="00E557B6">
        <w:rPr>
          <w:noProof/>
        </w:rPr>
        <w:lastRenderedPageBreak/>
        <w:t>[2]</w:t>
      </w:r>
      <w:r w:rsidRPr="00E557B6">
        <w:rPr>
          <w:noProof/>
        </w:rPr>
        <w:tab/>
        <w:t xml:space="preserve">V. Lahtela, S. Silwal, and T. Kärki, “Re-processing of multilayer plastic materials as a part of the recycling process: The features of processed multilayer materials,” </w:t>
      </w:r>
      <w:r w:rsidRPr="00E557B6">
        <w:rPr>
          <w:i/>
          <w:iCs/>
          <w:noProof/>
        </w:rPr>
        <w:t>Polymers (Basel).</w:t>
      </w:r>
      <w:r w:rsidRPr="00E557B6">
        <w:rPr>
          <w:noProof/>
        </w:rPr>
        <w:t>, vol. 12, no. 11, pp. 1–10, 2020, doi: 10.3390/polym12112517.</w:t>
      </w:r>
    </w:p>
    <w:p w14:paraId="2EAD312F" w14:textId="77777777" w:rsidR="00E557B6" w:rsidRPr="00E557B6" w:rsidRDefault="00E557B6" w:rsidP="00836731">
      <w:pPr>
        <w:widowControl w:val="0"/>
        <w:autoSpaceDE w:val="0"/>
        <w:autoSpaceDN w:val="0"/>
        <w:adjustRightInd w:val="0"/>
        <w:ind w:left="640" w:hanging="640"/>
        <w:jc w:val="both"/>
        <w:rPr>
          <w:noProof/>
        </w:rPr>
      </w:pPr>
      <w:r w:rsidRPr="00E557B6">
        <w:rPr>
          <w:noProof/>
        </w:rPr>
        <w:t>[3]</w:t>
      </w:r>
      <w:r w:rsidRPr="00E557B6">
        <w:rPr>
          <w:noProof/>
        </w:rPr>
        <w:tab/>
        <w:t xml:space="preserve">I. Jönkkäri, V. Poliakova, V. Mylläri, R. Anderson, M. Andersson, and J. Vuorinen, “Compounding and characterization of recycled multilayer plastic films,” </w:t>
      </w:r>
      <w:r w:rsidRPr="00E557B6">
        <w:rPr>
          <w:i/>
          <w:iCs/>
          <w:noProof/>
        </w:rPr>
        <w:t>J. Appl. Polym. Sci.</w:t>
      </w:r>
      <w:r w:rsidRPr="00E557B6">
        <w:rPr>
          <w:noProof/>
        </w:rPr>
        <w:t>, vol. 137, no. 37, 2020, doi: 10.1002/app.49101.</w:t>
      </w:r>
    </w:p>
    <w:p w14:paraId="5CEBC076" w14:textId="1853EE26" w:rsidR="00AE1A8A" w:rsidRDefault="00E557B6" w:rsidP="00836731">
      <w:pPr>
        <w:jc w:val="both"/>
        <w:rPr>
          <w:rFonts w:cs="Times New Roman"/>
          <w:bCs/>
          <w:i/>
          <w:iCs/>
          <w:lang w:val="ro-RO" w:eastAsia="fr-FR"/>
        </w:rPr>
      </w:pPr>
      <w:r>
        <w:rPr>
          <w:rFonts w:cs="Times New Roman"/>
          <w:bCs/>
          <w:i/>
          <w:iCs/>
          <w:lang w:val="ro-RO" w:eastAsia="fr-FR"/>
        </w:rPr>
        <w:fldChar w:fldCharType="end"/>
      </w:r>
    </w:p>
    <w:p w14:paraId="5B4346FB" w14:textId="77777777" w:rsidR="00AE1A8A" w:rsidRDefault="00AE1A8A" w:rsidP="00836731">
      <w:pPr>
        <w:jc w:val="both"/>
        <w:rPr>
          <w:rFonts w:cs="Times New Roman"/>
          <w:bCs/>
          <w:i/>
          <w:iCs/>
          <w:lang w:val="ro-RO" w:eastAsia="fr-FR"/>
        </w:rPr>
      </w:pPr>
    </w:p>
    <w:p w14:paraId="3F06FC67" w14:textId="77777777" w:rsidR="00AE1A8A" w:rsidRDefault="00AE1A8A" w:rsidP="00D612B4">
      <w:pPr>
        <w:rPr>
          <w:rFonts w:cs="Times New Roman"/>
          <w:bCs/>
          <w:lang w:val="ro-RO" w:eastAsia="fr-FR"/>
        </w:rPr>
      </w:pPr>
    </w:p>
    <w:sectPr w:rsidR="00AE1A8A">
      <w:headerReference w:type="default" r:id="rId9"/>
      <w:pgSz w:w="12240" w:h="15840"/>
      <w:pgMar w:top="1134" w:right="1134" w:bottom="1134" w:left="1701"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D5667" w14:textId="77777777" w:rsidR="00903388" w:rsidRPr="008C49B7" w:rsidRDefault="00903388">
      <w:r w:rsidRPr="008C49B7">
        <w:separator/>
      </w:r>
    </w:p>
  </w:endnote>
  <w:endnote w:type="continuationSeparator" w:id="0">
    <w:p w14:paraId="3D38B756" w14:textId="77777777" w:rsidR="00903388" w:rsidRPr="008C49B7" w:rsidRDefault="00903388">
      <w:r w:rsidRPr="008C49B7">
        <w:continuationSeparator/>
      </w:r>
    </w:p>
  </w:endnote>
  <w:endnote w:type="continuationNotice" w:id="1">
    <w:p w14:paraId="408FFE7D" w14:textId="77777777" w:rsidR="00903388" w:rsidRPr="008C49B7" w:rsidRDefault="00903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font>
  <w:font w:name="Noto Sans CJK SC Regular">
    <w:charset w:val="01"/>
    <w:family w:val="auto"/>
    <w:pitch w:val="variable"/>
  </w:font>
  <w:font w:name="FreeSans">
    <w:altName w:val="Calibri"/>
    <w:charset w:val="01"/>
    <w:family w:val="auto"/>
    <w:pitch w:val="variable"/>
  </w:font>
  <w:font w:name="Calibri">
    <w:panose1 w:val="020F0502020204030204"/>
    <w:charset w:val="00"/>
    <w:family w:val="swiss"/>
    <w:pitch w:val="variable"/>
    <w:sig w:usb0="E4002EFF" w:usb1="C200247B" w:usb2="00000009" w:usb3="00000000" w:csb0="000001FF" w:csb1="00000000"/>
  </w:font>
  <w:font w:name="Droid Sans Fallback">
    <w:charset w:val="01"/>
    <w:family w:val="auto"/>
    <w:pitch w:val="variable"/>
  </w:font>
  <w:font w:name="Times">
    <w:altName w:val="Times New Roman"/>
    <w:panose1 w:val="02020603050405020304"/>
    <w:charset w:val="00"/>
    <w:family w:val="roman"/>
    <w:pitch w:val="variable"/>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8F98E" w14:textId="77777777" w:rsidR="00903388" w:rsidRPr="008C49B7" w:rsidRDefault="00903388">
      <w:r w:rsidRPr="008C49B7">
        <w:separator/>
      </w:r>
    </w:p>
  </w:footnote>
  <w:footnote w:type="continuationSeparator" w:id="0">
    <w:p w14:paraId="683897B4" w14:textId="77777777" w:rsidR="00903388" w:rsidRPr="008C49B7" w:rsidRDefault="00903388">
      <w:r w:rsidRPr="008C49B7">
        <w:continuationSeparator/>
      </w:r>
    </w:p>
  </w:footnote>
  <w:footnote w:type="continuationNotice" w:id="1">
    <w:p w14:paraId="2BDC24A7" w14:textId="77777777" w:rsidR="00903388" w:rsidRPr="008C49B7" w:rsidRDefault="009033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18EE" w14:textId="21A2C278" w:rsidR="00555F27" w:rsidRPr="008C49B7" w:rsidRDefault="002C4852">
    <w:pPr>
      <w:pStyle w:val="Encabezado"/>
      <w:ind w:right="360"/>
    </w:pPr>
    <w:r w:rsidRPr="008C49B7">
      <w:drawing>
        <wp:anchor distT="0" distB="0" distL="114300" distR="114300" simplePos="0" relativeHeight="251658241" behindDoc="0" locked="0" layoutInCell="1" allowOverlap="1" wp14:anchorId="29E6D31D" wp14:editId="134AF75F">
          <wp:simplePos x="0" y="0"/>
          <wp:positionH relativeFrom="page">
            <wp:posOffset>-53340</wp:posOffset>
          </wp:positionH>
          <wp:positionV relativeFrom="paragraph">
            <wp:posOffset>-180340</wp:posOffset>
          </wp:positionV>
          <wp:extent cx="7813675" cy="952500"/>
          <wp:effectExtent l="0" t="0" r="0" b="0"/>
          <wp:wrapSquare wrapText="bothSides"/>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6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B7">
      <mc:AlternateContent>
        <mc:Choice Requires="wps">
          <w:drawing>
            <wp:anchor distT="0" distB="0" distL="0" distR="0" simplePos="0" relativeHeight="251658240" behindDoc="0" locked="0" layoutInCell="1" allowOverlap="1" wp14:anchorId="39EE9360" wp14:editId="1098A990">
              <wp:simplePos x="0" y="0"/>
              <wp:positionH relativeFrom="page">
                <wp:posOffset>7037705</wp:posOffset>
              </wp:positionH>
              <wp:positionV relativeFrom="paragraph">
                <wp:posOffset>635</wp:posOffset>
              </wp:positionV>
              <wp:extent cx="17780" cy="136525"/>
              <wp:effectExtent l="0" t="0" r="0" b="0"/>
              <wp:wrapSquare wrapText="largest"/>
              <wp:docPr id="144364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 cy="136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04C34" w14:textId="77777777" w:rsidR="00555F27" w:rsidRPr="008C49B7" w:rsidRDefault="00555F27">
                          <w:pPr>
                            <w:pStyle w:val="Encabezado"/>
                          </w:pP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E9360" id="_x0000_t202" coordsize="21600,21600" o:spt="202" path="m,l,21600r21600,l21600,xe">
              <v:stroke joinstyle="miter"/>
              <v:path gradientshapeok="t" o:connecttype="rect"/>
            </v:shapetype>
            <v:shape id="Text Box 1" o:spid="_x0000_s1026" type="#_x0000_t202" style="position:absolute;margin-left:554.15pt;margin-top:.05pt;width:1.4pt;height:1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" stroked="f">
              <v:fill opacity="0"/>
              <v:path arrowok="t"/>
              <v:textbox inset=".15pt,.15pt,.15pt,.15pt">
                <w:txbxContent>
                  <w:p w14:paraId="1F704C34" w14:textId="77777777" w:rsidR="00555F27" w:rsidRPr="008C49B7" w:rsidRDefault="00555F27">
                    <w:pPr>
                      <w:pStyle w:val="Encabezado"/>
                    </w:pPr>
                  </w:p>
                </w:txbxContent>
              </v:textbox>
              <w10:wrap type="square" side="larges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Ttulo4"/>
      <w:lvlText w:val="%1."/>
      <w:lvlJc w:val="left"/>
      <w:pPr>
        <w:tabs>
          <w:tab w:val="num" w:pos="360"/>
        </w:tabs>
        <w:ind w:left="360" w:hanging="360"/>
      </w:pPr>
      <w:rPr>
        <w:rFonts w:ascii="Times New Roman" w:hAnsi="Times New Roman" w:cs="Times New Roman"/>
        <w:b w:val="0"/>
        <w:i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99447967">
    <w:abstractNumId w:val="0"/>
  </w:num>
  <w:num w:numId="2" w16cid:durableId="1223251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07803"/>
    <w:rsid w:val="000057E5"/>
    <w:rsid w:val="00007803"/>
    <w:rsid w:val="000842E0"/>
    <w:rsid w:val="00097168"/>
    <w:rsid w:val="000A422A"/>
    <w:rsid w:val="000B2647"/>
    <w:rsid w:val="000D6960"/>
    <w:rsid w:val="000E482A"/>
    <w:rsid w:val="0010408F"/>
    <w:rsid w:val="001040F5"/>
    <w:rsid w:val="00116CB2"/>
    <w:rsid w:val="00131A88"/>
    <w:rsid w:val="00137183"/>
    <w:rsid w:val="001832C5"/>
    <w:rsid w:val="00187744"/>
    <w:rsid w:val="001A1D6A"/>
    <w:rsid w:val="001B1755"/>
    <w:rsid w:val="001D7CD5"/>
    <w:rsid w:val="001E25E0"/>
    <w:rsid w:val="00215FB4"/>
    <w:rsid w:val="002176E8"/>
    <w:rsid w:val="00250396"/>
    <w:rsid w:val="00292E86"/>
    <w:rsid w:val="002B7802"/>
    <w:rsid w:val="002C4852"/>
    <w:rsid w:val="002F66D9"/>
    <w:rsid w:val="00320FE7"/>
    <w:rsid w:val="00334A71"/>
    <w:rsid w:val="0039124E"/>
    <w:rsid w:val="0039229D"/>
    <w:rsid w:val="00395272"/>
    <w:rsid w:val="00395D76"/>
    <w:rsid w:val="003A2A0E"/>
    <w:rsid w:val="003A7529"/>
    <w:rsid w:val="003C5CD0"/>
    <w:rsid w:val="003F2580"/>
    <w:rsid w:val="00444A35"/>
    <w:rsid w:val="00477DFE"/>
    <w:rsid w:val="004A2B88"/>
    <w:rsid w:val="004A6CAD"/>
    <w:rsid w:val="004A7AB9"/>
    <w:rsid w:val="004D1E38"/>
    <w:rsid w:val="004D4705"/>
    <w:rsid w:val="004D685B"/>
    <w:rsid w:val="004F4CC6"/>
    <w:rsid w:val="0050274A"/>
    <w:rsid w:val="005114C6"/>
    <w:rsid w:val="00525824"/>
    <w:rsid w:val="00530931"/>
    <w:rsid w:val="00534A9A"/>
    <w:rsid w:val="005415EB"/>
    <w:rsid w:val="00555AE3"/>
    <w:rsid w:val="00555F27"/>
    <w:rsid w:val="00566FA0"/>
    <w:rsid w:val="0056723B"/>
    <w:rsid w:val="00567368"/>
    <w:rsid w:val="00574789"/>
    <w:rsid w:val="005961AC"/>
    <w:rsid w:val="005A0CFF"/>
    <w:rsid w:val="005A22A3"/>
    <w:rsid w:val="005B577D"/>
    <w:rsid w:val="005D0F4B"/>
    <w:rsid w:val="005E79F6"/>
    <w:rsid w:val="005F6822"/>
    <w:rsid w:val="00600AAA"/>
    <w:rsid w:val="00607832"/>
    <w:rsid w:val="00651002"/>
    <w:rsid w:val="00663478"/>
    <w:rsid w:val="00665CE6"/>
    <w:rsid w:val="00666553"/>
    <w:rsid w:val="00681DBD"/>
    <w:rsid w:val="0069405B"/>
    <w:rsid w:val="006A54E7"/>
    <w:rsid w:val="006E36DC"/>
    <w:rsid w:val="006E4237"/>
    <w:rsid w:val="00721372"/>
    <w:rsid w:val="00730086"/>
    <w:rsid w:val="00747B6E"/>
    <w:rsid w:val="00757861"/>
    <w:rsid w:val="00764896"/>
    <w:rsid w:val="0077320E"/>
    <w:rsid w:val="0077458D"/>
    <w:rsid w:val="0078178C"/>
    <w:rsid w:val="007934A1"/>
    <w:rsid w:val="007A0BCF"/>
    <w:rsid w:val="007C5BA9"/>
    <w:rsid w:val="007E19FF"/>
    <w:rsid w:val="007F2F18"/>
    <w:rsid w:val="007F510A"/>
    <w:rsid w:val="007F6E7D"/>
    <w:rsid w:val="008212CE"/>
    <w:rsid w:val="00824DF2"/>
    <w:rsid w:val="00836731"/>
    <w:rsid w:val="00847A1F"/>
    <w:rsid w:val="008642E5"/>
    <w:rsid w:val="00870411"/>
    <w:rsid w:val="0088313D"/>
    <w:rsid w:val="008A2FEB"/>
    <w:rsid w:val="008A378B"/>
    <w:rsid w:val="008B1155"/>
    <w:rsid w:val="008C49B7"/>
    <w:rsid w:val="008D6B9C"/>
    <w:rsid w:val="008E551F"/>
    <w:rsid w:val="008F00A6"/>
    <w:rsid w:val="00903388"/>
    <w:rsid w:val="00935BBB"/>
    <w:rsid w:val="0094445E"/>
    <w:rsid w:val="00974F1E"/>
    <w:rsid w:val="0099731E"/>
    <w:rsid w:val="009A0233"/>
    <w:rsid w:val="009A6657"/>
    <w:rsid w:val="009B61F1"/>
    <w:rsid w:val="009C3A0B"/>
    <w:rsid w:val="009E5265"/>
    <w:rsid w:val="009E60CC"/>
    <w:rsid w:val="009F0C14"/>
    <w:rsid w:val="00A50D1C"/>
    <w:rsid w:val="00A63290"/>
    <w:rsid w:val="00A64F30"/>
    <w:rsid w:val="00AA1D8E"/>
    <w:rsid w:val="00AB698A"/>
    <w:rsid w:val="00AD4FCF"/>
    <w:rsid w:val="00AE1A8A"/>
    <w:rsid w:val="00AE4089"/>
    <w:rsid w:val="00AF33EE"/>
    <w:rsid w:val="00B0157F"/>
    <w:rsid w:val="00B3250D"/>
    <w:rsid w:val="00B63907"/>
    <w:rsid w:val="00B66047"/>
    <w:rsid w:val="00B72F5D"/>
    <w:rsid w:val="00B84891"/>
    <w:rsid w:val="00B91583"/>
    <w:rsid w:val="00BA08F4"/>
    <w:rsid w:val="00BB05FE"/>
    <w:rsid w:val="00BF058B"/>
    <w:rsid w:val="00BF0806"/>
    <w:rsid w:val="00C06B39"/>
    <w:rsid w:val="00C46D45"/>
    <w:rsid w:val="00C5137F"/>
    <w:rsid w:val="00C72183"/>
    <w:rsid w:val="00C739BE"/>
    <w:rsid w:val="00C764B4"/>
    <w:rsid w:val="00C83788"/>
    <w:rsid w:val="00C842B8"/>
    <w:rsid w:val="00C90194"/>
    <w:rsid w:val="00C92D8F"/>
    <w:rsid w:val="00CD674A"/>
    <w:rsid w:val="00CE23F6"/>
    <w:rsid w:val="00CF6448"/>
    <w:rsid w:val="00D00070"/>
    <w:rsid w:val="00D05FEC"/>
    <w:rsid w:val="00D238EA"/>
    <w:rsid w:val="00D25AD0"/>
    <w:rsid w:val="00D45F5F"/>
    <w:rsid w:val="00D50533"/>
    <w:rsid w:val="00D612B4"/>
    <w:rsid w:val="00D73342"/>
    <w:rsid w:val="00D765F0"/>
    <w:rsid w:val="00D837CA"/>
    <w:rsid w:val="00D840D8"/>
    <w:rsid w:val="00DB22AB"/>
    <w:rsid w:val="00DE5C4E"/>
    <w:rsid w:val="00E027AB"/>
    <w:rsid w:val="00E200C2"/>
    <w:rsid w:val="00E557B6"/>
    <w:rsid w:val="00EC607F"/>
    <w:rsid w:val="00EE1ADE"/>
    <w:rsid w:val="00EF538F"/>
    <w:rsid w:val="00EF7AF0"/>
    <w:rsid w:val="00F004AA"/>
    <w:rsid w:val="00F03DAE"/>
    <w:rsid w:val="00F244EB"/>
    <w:rsid w:val="00F278FE"/>
    <w:rsid w:val="00F46B97"/>
    <w:rsid w:val="00F65939"/>
    <w:rsid w:val="00F66F0F"/>
    <w:rsid w:val="00F86DF5"/>
    <w:rsid w:val="00F908E8"/>
    <w:rsid w:val="00FC69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E588748"/>
  <w15:chartTrackingRefBased/>
  <w15:docId w15:val="{C8C38386-7455-E840-A936-28C0B946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Helvetica" w:hAnsi="Helvetica" w:cs="Helvetica"/>
      <w:lang w:eastAsia="zh-CN"/>
    </w:rPr>
  </w:style>
  <w:style w:type="paragraph" w:styleId="Ttulo2">
    <w:name w:val="heading 2"/>
    <w:basedOn w:val="Normal"/>
    <w:next w:val="Normal"/>
    <w:qFormat/>
    <w:pPr>
      <w:keepNext/>
      <w:numPr>
        <w:ilvl w:val="1"/>
        <w:numId w:val="1"/>
      </w:numPr>
      <w:spacing w:before="240" w:after="60"/>
      <w:jc w:val="both"/>
      <w:outlineLvl w:val="1"/>
    </w:pPr>
    <w:rPr>
      <w:rFonts w:ascii="Arial" w:hAnsi="Arial" w:cs="Arial"/>
      <w:b/>
      <w:i/>
      <w:sz w:val="24"/>
    </w:rPr>
  </w:style>
  <w:style w:type="paragraph" w:styleId="Ttulo3">
    <w:name w:val="heading 3"/>
    <w:basedOn w:val="Normal"/>
    <w:next w:val="Normal"/>
    <w:qFormat/>
    <w:pPr>
      <w:keepNext/>
      <w:numPr>
        <w:ilvl w:val="2"/>
        <w:numId w:val="1"/>
      </w:numPr>
      <w:spacing w:before="240" w:after="60"/>
      <w:jc w:val="both"/>
      <w:outlineLvl w:val="2"/>
    </w:pPr>
    <w:rPr>
      <w:rFonts w:ascii="Arial" w:hAnsi="Arial" w:cs="Arial"/>
      <w:sz w:val="24"/>
    </w:rPr>
  </w:style>
  <w:style w:type="paragraph" w:styleId="Ttulo4">
    <w:name w:val="heading 4"/>
    <w:basedOn w:val="Normal"/>
    <w:next w:val="Normal"/>
    <w:qFormat/>
    <w:pPr>
      <w:keepNext/>
      <w:numPr>
        <w:numId w:val="2"/>
      </w:numPr>
      <w:outlineLvl w:val="3"/>
    </w:pPr>
    <w:rPr>
      <w:rFonts w:ascii="Arial" w:hAnsi="Arial" w:cs="Arial"/>
      <w:b/>
      <w:bCs/>
      <w:lang w:val="ro-R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Times New Roman" w:hAnsi="Times New Roman" w:cs="Times New Roman"/>
      <w:b w:val="0"/>
      <w:i w:val="0"/>
      <w:sz w:val="2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style>
  <w:style w:type="character" w:customStyle="1" w:styleId="WW8Num5z0">
    <w:name w:val="WW8Num5z0"/>
    <w:rPr>
      <w:rFonts w:ascii="Wingdings" w:hAnsi="Wingdings" w:cs="Wingdings"/>
    </w:rPr>
  </w:style>
  <w:style w:type="character" w:customStyle="1" w:styleId="WW8Num5z1">
    <w:name w:val="WW8Num5z1"/>
    <w:rPr>
      <w:rFonts w:ascii="Courier New" w:hAnsi="Courier New" w:cs="Arial"/>
    </w:rPr>
  </w:style>
  <w:style w:type="character" w:customStyle="1" w:styleId="WW8Num5z3">
    <w:name w:val="WW8Num5z3"/>
    <w:rPr>
      <w:rFonts w:ascii="Symbol" w:hAnsi="Symbol" w:cs="Symbol"/>
    </w:rPr>
  </w:style>
  <w:style w:type="character" w:customStyle="1" w:styleId="Fuentedeprrafopredeter1">
    <w:name w:val="Fuente de párrafo predeter.1"/>
  </w:style>
  <w:style w:type="character" w:customStyle="1" w:styleId="Caracteresdenotafinal">
    <w:name w:val="Caracteres de nota final"/>
    <w:rPr>
      <w:vertAlign w:val="superscript"/>
    </w:rPr>
  </w:style>
  <w:style w:type="character" w:customStyle="1" w:styleId="Caracteresdenotaalpie">
    <w:name w:val="Caracteres de nota al pie"/>
    <w:rPr>
      <w:vertAlign w:val="superscript"/>
    </w:rPr>
  </w:style>
  <w:style w:type="character" w:styleId="Hipervnculo">
    <w:name w:val="Hyperlink"/>
    <w:rPr>
      <w:color w:val="0000FF"/>
      <w:u w:val="single"/>
    </w:rPr>
  </w:style>
  <w:style w:type="character" w:styleId="Hipervnculovisitado">
    <w:name w:val="FollowedHyperlink"/>
    <w:rPr>
      <w:color w:val="800080"/>
      <w:u w:val="single"/>
    </w:rPr>
  </w:style>
  <w:style w:type="character" w:styleId="Nmerodepgina">
    <w:name w:val="page number"/>
    <w:basedOn w:val="Fuentedeprrafopredeter1"/>
  </w:style>
  <w:style w:type="paragraph" w:customStyle="1" w:styleId="Ttulo1">
    <w:name w:val="Título1"/>
    <w:basedOn w:val="Normal"/>
    <w:next w:val="Textoindependiente"/>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jc w:val="both"/>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ascii="Calibri" w:hAnsi="Calibri" w:cs="FreeSans"/>
      <w:i/>
      <w:iCs/>
      <w:sz w:val="24"/>
      <w:szCs w:val="24"/>
    </w:rPr>
  </w:style>
  <w:style w:type="paragraph" w:customStyle="1" w:styleId="ndice">
    <w:name w:val="Índice"/>
    <w:basedOn w:val="Normal"/>
    <w:pPr>
      <w:suppressLineNumbers/>
    </w:pPr>
    <w:rPr>
      <w:rFonts w:cs="FreeSans"/>
    </w:rPr>
  </w:style>
  <w:style w:type="paragraph" w:customStyle="1" w:styleId="Encabezado1">
    <w:name w:val="Encabezado1"/>
    <w:basedOn w:val="Normal"/>
    <w:next w:val="Textoindependiente"/>
    <w:pPr>
      <w:keepNext/>
      <w:spacing w:before="240" w:after="120"/>
    </w:pPr>
    <w:rPr>
      <w:rFonts w:ascii="Liberation Sans" w:eastAsia="Droid Sans Fallback" w:hAnsi="Liberation Sans" w:cs="FreeSans"/>
      <w:sz w:val="28"/>
      <w:szCs w:val="28"/>
    </w:rPr>
  </w:style>
  <w:style w:type="paragraph" w:customStyle="1" w:styleId="Pie">
    <w:name w:val="Pie"/>
    <w:basedOn w:val="Normal"/>
    <w:pPr>
      <w:suppressLineNumbers/>
      <w:spacing w:before="120" w:after="120"/>
    </w:pPr>
    <w:rPr>
      <w:rFonts w:cs="FreeSans"/>
      <w:i/>
      <w:iCs/>
      <w:sz w:val="24"/>
      <w:szCs w:val="24"/>
    </w:rPr>
  </w:style>
  <w:style w:type="paragraph" w:customStyle="1" w:styleId="TFReferencesSection">
    <w:name w:val="TF_References_Section"/>
    <w:basedOn w:val="Normal"/>
    <w:pPr>
      <w:spacing w:line="170" w:lineRule="exact"/>
      <w:ind w:firstLine="187"/>
      <w:jc w:val="both"/>
    </w:pPr>
    <w:rPr>
      <w:rFonts w:ascii="Times" w:hAnsi="Times" w:cs="Times"/>
      <w:sz w:val="16"/>
    </w:rPr>
  </w:style>
  <w:style w:type="paragraph" w:styleId="Textonotapie">
    <w:name w:val="footnote text"/>
    <w:basedOn w:val="TFReferencesSection"/>
    <w:next w:val="TFReferencesSection"/>
  </w:style>
  <w:style w:type="paragraph" w:customStyle="1" w:styleId="TAMainText">
    <w:name w:val="TA_Main_Text"/>
    <w:basedOn w:val="Normal"/>
    <w:pPr>
      <w:spacing w:line="240" w:lineRule="exact"/>
      <w:ind w:firstLine="202"/>
      <w:jc w:val="both"/>
    </w:pPr>
    <w:rPr>
      <w:rFonts w:ascii="Times" w:hAnsi="Times" w:cs="Times"/>
    </w:rPr>
  </w:style>
  <w:style w:type="paragraph" w:customStyle="1" w:styleId="BATitle">
    <w:name w:val="BA_Title"/>
    <w:basedOn w:val="Normal"/>
    <w:next w:val="BBAuthorName"/>
    <w:pPr>
      <w:spacing w:before="720" w:after="240" w:line="480" w:lineRule="exact"/>
      <w:ind w:right="3024"/>
    </w:pPr>
    <w:rPr>
      <w:b/>
      <w:sz w:val="44"/>
    </w:rPr>
  </w:style>
  <w:style w:type="paragraph" w:customStyle="1" w:styleId="BBAuthorName">
    <w:name w:val="BB_Author_Name"/>
    <w:basedOn w:val="Normal"/>
    <w:next w:val="BCAuthorAddress"/>
    <w:pPr>
      <w:spacing w:after="240" w:line="240" w:lineRule="exact"/>
      <w:ind w:right="3024"/>
    </w:pPr>
    <w:rPr>
      <w:b/>
      <w:sz w:val="22"/>
    </w:rPr>
  </w:style>
  <w:style w:type="paragraph" w:customStyle="1" w:styleId="BCAuthorAddress">
    <w:name w:val="BC_Author_Address"/>
    <w:basedOn w:val="Normal"/>
    <w:next w:val="BIEmailAddress"/>
    <w:pPr>
      <w:spacing w:after="120" w:line="240" w:lineRule="exact"/>
      <w:ind w:right="3024"/>
    </w:pPr>
    <w:rPr>
      <w:rFonts w:ascii="Times" w:hAnsi="Times" w:cs="Times"/>
      <w:i/>
    </w:rPr>
  </w:style>
  <w:style w:type="paragraph" w:customStyle="1" w:styleId="BIEmailAddress">
    <w:name w:val="BI_Email_Address"/>
    <w:next w:val="AIReceive03"/>
    <w:pPr>
      <w:suppressAutoHyphens/>
      <w:spacing w:after="120" w:line="240" w:lineRule="exact"/>
      <w:ind w:right="3024"/>
    </w:pPr>
    <w:rPr>
      <w:rFonts w:ascii="Times" w:hAnsi="Times" w:cs="Times"/>
      <w:i/>
      <w:lang w:val="en-US" w:eastAsia="zh-CN"/>
    </w:rPr>
  </w:style>
  <w:style w:type="paragraph" w:customStyle="1" w:styleId="AIReceive03">
    <w:name w:val="AI_Receive03"/>
    <w:basedOn w:val="Normal"/>
    <w:next w:val="Absbox"/>
    <w:pPr>
      <w:spacing w:after="600" w:line="240" w:lineRule="exact"/>
      <w:ind w:right="3024"/>
    </w:pPr>
    <w:rPr>
      <w:b/>
      <w:sz w:val="18"/>
    </w:rPr>
  </w:style>
  <w:style w:type="paragraph" w:customStyle="1" w:styleId="BDAbstract">
    <w:name w:val="BD_Abstract"/>
    <w:pPr>
      <w:pBdr>
        <w:top w:val="none" w:sz="0" w:space="0" w:color="000000"/>
        <w:left w:val="none" w:sz="0" w:space="0" w:color="000000"/>
        <w:bottom w:val="single" w:sz="6" w:space="12" w:color="000000"/>
        <w:right w:val="none" w:sz="0" w:space="0" w:color="000000"/>
      </w:pBdr>
      <w:suppressAutoHyphens/>
      <w:spacing w:before="200" w:after="200" w:line="220" w:lineRule="exact"/>
      <w:jc w:val="both"/>
    </w:pPr>
    <w:rPr>
      <w:rFonts w:ascii="Helvetica" w:hAnsi="Helvetica" w:cs="Helvetica"/>
      <w:b/>
      <w:sz w:val="18"/>
      <w:lang w:val="en-US" w:eastAsia="zh-CN"/>
    </w:rPr>
  </w:style>
  <w:style w:type="paragraph" w:customStyle="1" w:styleId="Absbox">
    <w:name w:val="Absbox"/>
    <w:basedOn w:val="BDAbstract"/>
    <w:pPr>
      <w:pBdr>
        <w:top w:val="single" w:sz="6" w:space="0" w:color="800000"/>
        <w:left w:val="single" w:sz="6" w:space="4" w:color="800000"/>
        <w:bottom w:val="single" w:sz="6" w:space="0" w:color="800000"/>
        <w:right w:val="single" w:sz="6" w:space="4" w:color="800000"/>
      </w:pBdr>
      <w:shd w:val="clear" w:color="auto" w:fill="800000"/>
      <w:spacing w:after="320"/>
      <w:ind w:left="86" w:right="130"/>
      <w:jc w:val="center"/>
    </w:pPr>
    <w:rPr>
      <w:color w:val="FFFFFF"/>
      <w:sz w:val="20"/>
    </w:rPr>
  </w:style>
  <w:style w:type="paragraph" w:customStyle="1" w:styleId="TDAcknowledgments">
    <w:name w:val="TD_Acknowledgments"/>
    <w:basedOn w:val="Normal"/>
    <w:next w:val="TESupportingInformation"/>
    <w:pPr>
      <w:spacing w:before="200" w:line="240" w:lineRule="exact"/>
      <w:ind w:firstLine="202"/>
      <w:jc w:val="both"/>
    </w:pPr>
    <w:rPr>
      <w:rFonts w:ascii="Times" w:hAnsi="Times" w:cs="Times"/>
    </w:rPr>
  </w:style>
  <w:style w:type="paragraph" w:customStyle="1" w:styleId="TESupportingInformation">
    <w:name w:val="TE_Supporting_Information"/>
    <w:basedOn w:val="Normal"/>
    <w:pPr>
      <w:spacing w:before="200" w:line="240" w:lineRule="exact"/>
      <w:ind w:firstLine="187"/>
      <w:jc w:val="both"/>
    </w:pPr>
    <w:rPr>
      <w:rFonts w:ascii="Times" w:hAnsi="Times" w:cs="Times"/>
    </w:rPr>
  </w:style>
  <w:style w:type="paragraph" w:customStyle="1" w:styleId="VCSchemeTitle">
    <w:name w:val="VC_Scheme_Title"/>
    <w:basedOn w:val="Normal"/>
    <w:next w:val="Normal"/>
    <w:pPr>
      <w:spacing w:after="240" w:line="200" w:lineRule="exact"/>
      <w:jc w:val="center"/>
    </w:pPr>
    <w:rPr>
      <w:rFonts w:ascii="Times" w:hAnsi="Times" w:cs="Times"/>
      <w:sz w:val="18"/>
    </w:rPr>
  </w:style>
  <w:style w:type="paragraph" w:customStyle="1" w:styleId="VDTableTitle">
    <w:name w:val="VD_Table_Title"/>
    <w:basedOn w:val="Normal"/>
    <w:next w:val="Normal"/>
    <w:pPr>
      <w:spacing w:after="240" w:line="200" w:lineRule="exact"/>
    </w:pPr>
    <w:rPr>
      <w:rFonts w:ascii="Times" w:hAnsi="Times" w:cs="Times"/>
      <w:sz w:val="18"/>
    </w:rPr>
  </w:style>
  <w:style w:type="paragraph" w:customStyle="1" w:styleId="TCScheme08">
    <w:name w:val="TC_Scheme_08"/>
    <w:basedOn w:val="Normal"/>
    <w:pPr>
      <w:spacing w:after="211" w:line="194" w:lineRule="exact"/>
    </w:pPr>
    <w:rPr>
      <w:sz w:val="19"/>
    </w:rPr>
  </w:style>
  <w:style w:type="paragraph" w:customStyle="1" w:styleId="VAFigureCaption">
    <w:name w:val="VA_Figure_Caption"/>
    <w:basedOn w:val="Normal"/>
    <w:next w:val="Normal"/>
    <w:pPr>
      <w:spacing w:before="240" w:line="200" w:lineRule="exact"/>
      <w:jc w:val="both"/>
    </w:pPr>
    <w:rPr>
      <w:rFonts w:ascii="Times" w:hAnsi="Times" w:cs="Times"/>
      <w:sz w:val="18"/>
    </w:rPr>
  </w:style>
  <w:style w:type="paragraph" w:customStyle="1" w:styleId="bar">
    <w:name w:val="bar"/>
    <w:basedOn w:val="Normal"/>
    <w:next w:val="Normal"/>
    <w:pPr>
      <w:shd w:val="clear" w:color="auto" w:fill="800000"/>
      <w:spacing w:before="360" w:after="80" w:line="220" w:lineRule="exact"/>
    </w:pPr>
  </w:style>
  <w:style w:type="paragraph" w:customStyle="1" w:styleId="thinbar">
    <w:name w:val="thinbar"/>
    <w:next w:val="TAMainText"/>
    <w:pPr>
      <w:pBdr>
        <w:top w:val="none" w:sz="0" w:space="0" w:color="000000"/>
        <w:left w:val="none" w:sz="0" w:space="0" w:color="000000"/>
        <w:bottom w:val="single" w:sz="6" w:space="1" w:color="800000"/>
        <w:right w:val="none" w:sz="0" w:space="0" w:color="000000"/>
      </w:pBdr>
      <w:suppressAutoHyphens/>
      <w:spacing w:before="240" w:after="300" w:line="20" w:lineRule="exact"/>
    </w:pPr>
    <w:rPr>
      <w:rFonts w:ascii="New York" w:hAnsi="New York" w:cs="New York"/>
      <w:lang w:val="en-US" w:eastAsia="zh-CN"/>
    </w:rPr>
  </w:style>
  <w:style w:type="paragraph" w:customStyle="1" w:styleId="graphicbox">
    <w:name w:val="graphicbox"/>
    <w:basedOn w:val="Normal"/>
    <w:next w:val="BDAbstract"/>
    <w:pPr>
      <w:jc w:val="center"/>
    </w:pPr>
    <w:rPr>
      <w:rFonts w:ascii="Times" w:hAnsi="Times" w:cs="Times"/>
      <w:sz w:val="18"/>
    </w:rPr>
  </w:style>
  <w:style w:type="paragraph" w:customStyle="1" w:styleId="FETableFootnote">
    <w:name w:val="FE_Table_Footnote"/>
    <w:basedOn w:val="Normal"/>
    <w:pPr>
      <w:spacing w:line="170" w:lineRule="exact"/>
      <w:ind w:firstLine="187"/>
    </w:pPr>
    <w:rPr>
      <w:sz w:val="16"/>
    </w:rPr>
  </w:style>
  <w:style w:type="paragraph" w:customStyle="1" w:styleId="FDSchemeFootnote">
    <w:name w:val="FD_Scheme_Footnote"/>
    <w:basedOn w:val="Normal"/>
  </w:style>
  <w:style w:type="paragraph" w:customStyle="1" w:styleId="TCTableBody">
    <w:name w:val="TC_Table_Body"/>
    <w:basedOn w:val="VDTableTitle"/>
    <w:pPr>
      <w:jc w:val="both"/>
    </w:pPr>
  </w:style>
  <w:style w:type="paragraph" w:styleId="Textonotaalfinal">
    <w:name w:val="endnote text"/>
    <w:basedOn w:val="Normal"/>
  </w:style>
  <w:style w:type="paragraph" w:customStyle="1" w:styleId="VBChartTitle">
    <w:name w:val="VB_Chart_Title"/>
    <w:basedOn w:val="Normal"/>
    <w:next w:val="Normal"/>
    <w:pPr>
      <w:spacing w:before="240" w:line="200" w:lineRule="exact"/>
      <w:jc w:val="both"/>
    </w:pPr>
    <w:rPr>
      <w:rFonts w:ascii="Times" w:hAnsi="Times" w:cs="Times"/>
      <w:sz w:val="19"/>
    </w:rPr>
  </w:style>
  <w:style w:type="paragraph" w:customStyle="1" w:styleId="FCChartFootnote">
    <w:name w:val="FC_Chart_Footnote"/>
    <w:basedOn w:val="FETableFootnote"/>
    <w:pPr>
      <w:spacing w:before="120" w:line="180" w:lineRule="exact"/>
      <w:jc w:val="both"/>
    </w:pPr>
    <w:rPr>
      <w:rFonts w:ascii="Times" w:hAnsi="Times" w:cs="Times"/>
      <w:sz w:val="17"/>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320"/>
        <w:tab w:val="right" w:pos="8640"/>
      </w:tabs>
    </w:pPr>
    <w:rPr>
      <w:rFonts w:ascii="Times New Roman" w:hAnsi="Times New Roman" w:cs="Times New Roman"/>
    </w:rPr>
  </w:style>
  <w:style w:type="paragraph" w:styleId="Piedepgina">
    <w:name w:val="footer"/>
    <w:basedOn w:val="Normal"/>
    <w:pPr>
      <w:tabs>
        <w:tab w:val="center" w:pos="4419"/>
        <w:tab w:val="right" w:pos="8838"/>
      </w:tabs>
    </w:pPr>
  </w:style>
  <w:style w:type="paragraph" w:customStyle="1" w:styleId="tlbody">
    <w:name w:val="tl_body"/>
    <w:basedOn w:val="Normal"/>
    <w:pPr>
      <w:spacing w:line="260" w:lineRule="exact"/>
      <w:ind w:firstLine="142"/>
      <w:jc w:val="both"/>
    </w:pPr>
    <w:rPr>
      <w:rFonts w:ascii="Times New Roman" w:hAnsi="Times New Roman" w:cs="Times New Roman"/>
      <w:sz w:val="22"/>
      <w:lang w:val="en-GB"/>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Normal"/>
  </w:style>
  <w:style w:type="paragraph" w:styleId="NormalWeb">
    <w:name w:val="Normal (Web)"/>
    <w:basedOn w:val="Normal"/>
    <w:pPr>
      <w:spacing w:before="280" w:after="280"/>
    </w:pPr>
    <w:rPr>
      <w:lang w:val="pl-PL"/>
    </w:rPr>
  </w:style>
  <w:style w:type="character" w:styleId="Mencinsinresolver">
    <w:name w:val="Unresolved Mention"/>
    <w:uiPriority w:val="99"/>
    <w:semiHidden/>
    <w:unhideWhenUsed/>
    <w:rsid w:val="00824DF2"/>
    <w:rPr>
      <w:color w:val="605E5C"/>
      <w:shd w:val="clear" w:color="auto" w:fill="E1DFDD"/>
    </w:rPr>
  </w:style>
  <w:style w:type="paragraph" w:customStyle="1" w:styleId="EndNoteBibliographyTitle">
    <w:name w:val="EndNote Bibliography Title"/>
    <w:basedOn w:val="Normal"/>
    <w:link w:val="EndNoteBibliographyTitleCar"/>
    <w:rsid w:val="00D612B4"/>
    <w:pPr>
      <w:jc w:val="center"/>
    </w:pPr>
  </w:style>
  <w:style w:type="character" w:customStyle="1" w:styleId="EndNoteBibliographyTitleCar">
    <w:name w:val="EndNote Bibliography Title Car"/>
    <w:link w:val="EndNoteBibliographyTitle"/>
    <w:rsid w:val="00D612B4"/>
    <w:rPr>
      <w:rFonts w:ascii="Helvetica" w:hAnsi="Helvetica" w:cs="Helvetica"/>
      <w:lang w:val="en-US" w:eastAsia="zh-CN"/>
    </w:rPr>
  </w:style>
  <w:style w:type="paragraph" w:customStyle="1" w:styleId="EndNoteBibliography">
    <w:name w:val="EndNote Bibliography"/>
    <w:basedOn w:val="Normal"/>
    <w:link w:val="EndNoteBibliographyCar"/>
    <w:rsid w:val="00D612B4"/>
    <w:pPr>
      <w:jc w:val="both"/>
    </w:pPr>
  </w:style>
  <w:style w:type="character" w:customStyle="1" w:styleId="EndNoteBibliographyCar">
    <w:name w:val="EndNote Bibliography Car"/>
    <w:link w:val="EndNoteBibliography"/>
    <w:rsid w:val="00D612B4"/>
    <w:rPr>
      <w:rFonts w:ascii="Helvetica" w:hAnsi="Helvetica" w:cs="Helvetic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BAB78-571C-4339-8900-7A44F46B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2</Pages>
  <Words>1794</Words>
  <Characters>10228</Characters>
  <Application>Microsoft Office Word</Application>
  <DocSecurity>0</DocSecurity>
  <Lines>85</Lines>
  <Paragraphs>23</Paragraphs>
  <ScaleCrop>false</ScaleCrop>
  <HeadingPairs>
    <vt:vector size="2" baseType="variant">
      <vt:variant>
        <vt:lpstr>Título</vt:lpstr>
      </vt:variant>
      <vt:variant>
        <vt:i4>1</vt:i4>
      </vt:variant>
    </vt:vector>
  </HeadingPairs>
  <TitlesOfParts>
    <vt:vector size="1" baseType="lpstr">
      <vt:lpstr>Template para os Anais Impressos do XX SICAT</vt:lpstr>
    </vt:vector>
  </TitlesOfParts>
  <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para os Anais Impressos do XX SICAT</dc:title>
  <dc:subject/>
  <dc:creator>Adriano Lisboa Monteiro - IQ - UFRGS</dc:creator>
  <cp:keywords/>
  <cp:lastModifiedBy>JOHAN ESTEBAN GARCÍA</cp:lastModifiedBy>
  <cp:revision>124</cp:revision>
  <cp:lastPrinted>2024-09-30T16:17:00Z</cp:lastPrinted>
  <dcterms:created xsi:type="dcterms:W3CDTF">2024-09-24T15:04:00Z</dcterms:created>
  <dcterms:modified xsi:type="dcterms:W3CDTF">2024-09-30T16:23:00Z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84664bfe-2740-326b-ab0c-bff3f1187f5e</vt:lpwstr>
  </property>
</Properties>
</file>