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line="240" w:lineRule="auto"/>
        <w:ind w:left="0" w:hanging="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Desarrollo de Dendrímeros PAMAM funcionalizados con rodamina B para aplicaciones en fototerapia contra bacterias y células cancerígenas.</w:t>
      </w:r>
    </w:p>
    <w:p w:rsidR="00000000" w:rsidDel="00000000" w:rsidP="00000000" w:rsidRDefault="00000000" w:rsidRPr="00000000" w14:paraId="00000002">
      <w:pPr>
        <w:keepNext w:val="1"/>
        <w:ind w:left="0" w:hanging="2"/>
        <w:jc w:val="center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u w:val="single"/>
          <w:rtl w:val="0"/>
        </w:rPr>
        <w:t xml:space="preserve">Camila Baquedano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a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Camila Bustos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a</w:t>
      </w:r>
      <w:r w:rsidDel="00000000" w:rsidR="00000000" w:rsidRPr="00000000">
        <w:rPr>
          <w:sz w:val="22"/>
          <w:szCs w:val="22"/>
          <w:rtl w:val="0"/>
        </w:rPr>
        <w:t xml:space="preserve">, Paz Sandoval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a</w:t>
      </w:r>
      <w:r w:rsidDel="00000000" w:rsidR="00000000" w:rsidRPr="00000000">
        <w:rPr>
          <w:sz w:val="22"/>
          <w:szCs w:val="22"/>
          <w:rtl w:val="0"/>
        </w:rPr>
        <w:t xml:space="preserve">, Valentina Zapata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a</w:t>
      </w:r>
      <w:r w:rsidDel="00000000" w:rsidR="00000000" w:rsidRPr="00000000">
        <w:rPr>
          <w:sz w:val="22"/>
          <w:szCs w:val="22"/>
          <w:rtl w:val="0"/>
        </w:rPr>
        <w:t xml:space="preserve">, Diego Cifuentes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c</w:t>
      </w:r>
      <w:r w:rsidDel="00000000" w:rsidR="00000000" w:rsidRPr="00000000">
        <w:rPr>
          <w:sz w:val="22"/>
          <w:szCs w:val="22"/>
          <w:rtl w:val="0"/>
        </w:rPr>
        <w:t xml:space="preserve">, Leonardo Guzmán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c</w:t>
      </w:r>
      <w:r w:rsidDel="00000000" w:rsidR="00000000" w:rsidRPr="00000000">
        <w:rPr>
          <w:sz w:val="22"/>
          <w:szCs w:val="22"/>
          <w:rtl w:val="0"/>
        </w:rPr>
        <w:t xml:space="preserve">, Carola Díaz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b</w:t>
      </w:r>
      <w:r w:rsidDel="00000000" w:rsidR="00000000" w:rsidRPr="00000000">
        <w:rPr>
          <w:sz w:val="22"/>
          <w:szCs w:val="22"/>
          <w:rtl w:val="0"/>
        </w:rPr>
        <w:t xml:space="preserve">*</w:t>
      </w:r>
    </w:p>
    <w:p w:rsidR="00000000" w:rsidDel="00000000" w:rsidP="00000000" w:rsidRDefault="00000000" w:rsidRPr="00000000" w14:paraId="00000003">
      <w:pPr>
        <w:keepNext w:val="1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Email: </w:t>
      </w:r>
      <w:hyperlink r:id="rId7">
        <w:r w:rsidDel="00000000" w:rsidR="00000000" w:rsidRPr="00000000">
          <w:rPr>
            <w:color w:val="0000ff"/>
            <w:sz w:val="22"/>
            <w:szCs w:val="22"/>
            <w:u w:val="single"/>
            <w:vertAlign w:val="baseline"/>
            <w:rtl w:val="0"/>
          </w:rPr>
          <w:t xml:space="preserve">c.diazgomez@uandresbello.edu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1"/>
        <w:spacing w:after="240" w:before="240" w:lineRule="auto"/>
        <w:ind w:left="0" w:hanging="2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vertAlign w:val="superscript"/>
          <w:rtl w:val="0"/>
        </w:rPr>
        <w:t xml:space="preserve">a</w:t>
      </w:r>
      <w:r w:rsidDel="00000000" w:rsidR="00000000" w:rsidRPr="00000000">
        <w:rPr>
          <w:i w:val="1"/>
          <w:sz w:val="22"/>
          <w:szCs w:val="22"/>
          <w:rtl w:val="0"/>
        </w:rPr>
        <w:t xml:space="preserve"> Universidad Andrés Bello, Facultad de Medicina, Departamento de Tecnología Médica, Concepción, Chile.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b </w:t>
      </w:r>
      <w:r w:rsidDel="00000000" w:rsidR="00000000" w:rsidRPr="00000000">
        <w:rPr>
          <w:i w:val="1"/>
          <w:sz w:val="22"/>
          <w:szCs w:val="22"/>
          <w:rtl w:val="0"/>
        </w:rPr>
        <w:t xml:space="preserve">Universidad Andrés Bello, Facultad de Ciencias Exactas, Departamento de Ciencias Químicas, Concepción, Chile.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highlight w:val="white"/>
          <w:vertAlign w:val="super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i w:val="1"/>
          <w:sz w:val="22"/>
          <w:szCs w:val="22"/>
          <w:rtl w:val="0"/>
        </w:rPr>
        <w:t xml:space="preserve">Universidad de Concepción, Facultad de Ciencias Biológicas, Departamento de Fisiología, Concepción, Chile.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 Chile, la epidemiología evidencia un aumento de la morbimortalidad por patologías de alta complejidad como el cáncer, que en nuestro país y el mundo desplazó a las enfermedades cardiovasculares como primera causa de muerte. Dentro de los distintos gatillantes de la patología, encontramos infecciones bacterianas persistentes, cuyo ejemplo más emblemático es la infección de </w:t>
      </w:r>
      <w:r w:rsidDel="00000000" w:rsidR="00000000" w:rsidRPr="00000000">
        <w:rPr>
          <w:i w:val="1"/>
          <w:sz w:val="22"/>
          <w:szCs w:val="22"/>
          <w:rtl w:val="0"/>
        </w:rPr>
        <w:t xml:space="preserve">Helicobacter pylori </w:t>
      </w:r>
      <w:r w:rsidDel="00000000" w:rsidR="00000000" w:rsidRPr="00000000">
        <w:rPr>
          <w:sz w:val="22"/>
          <w:szCs w:val="22"/>
          <w:rtl w:val="0"/>
        </w:rPr>
        <w:t xml:space="preserve">y su incidencia en el desarrollo de cáncer gástrico. En la constante búsqueda de soluciones alternativas a la terapia convencional para combatir enfermedades como el cáncer o infecciones, se encuentra la terapia fotodinámica. En ella se utilizan moléculas que se excitan a longitudes de onda específicas y producen especies reactivas de oxígeno (ROS) causando muerte celular. En el caso de infecciones con la capacidad de generar y/o colonizar tumores, el tratamiento conjunto es fundamental. En este contexto, el uso de nanomateriales como los Dendrímeros Poliamidoamina (PAMAM) y conjugarlo a moléculas fotosensibilizadoras es una estrategia que permitiría aprovechar las características de un nanotransportador de fármacos y potenciarlas con capacidad fototóxica activada solo en presencia de luz.  Los PAMAM poseen características únicas gracias a que sus estructuras son similares a las proteínas.  Además, son biocompatibles, susceptibles a cambios de pH y presentan altas superficies de interacción. </w:t>
      </w:r>
    </w:p>
    <w:p w:rsidR="00000000" w:rsidDel="00000000" w:rsidP="00000000" w:rsidRDefault="00000000" w:rsidRPr="00000000" w14:paraId="00000006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 esta investigación se funcionalizó PAMAM de cuarta generación con rodamina B aproximadamente al 10% de sus aminas superficiales para probar su actividad fototóxica, tanto para cultivos bacterianos, como líneas celulares HeLa en presencia y ausencia de luz blanca (exposición de 30 minutos). Se utilizó cepa ATCC </w:t>
      </w:r>
      <w:r w:rsidDel="00000000" w:rsidR="00000000" w:rsidRPr="00000000">
        <w:rPr>
          <w:i w:val="1"/>
          <w:sz w:val="22"/>
          <w:szCs w:val="22"/>
          <w:rtl w:val="0"/>
        </w:rPr>
        <w:t xml:space="preserve">Staphylococcus aureus</w:t>
      </w:r>
      <w:r w:rsidDel="00000000" w:rsidR="00000000" w:rsidRPr="00000000">
        <w:rPr>
          <w:sz w:val="22"/>
          <w:szCs w:val="22"/>
          <w:rtl w:val="0"/>
        </w:rPr>
        <w:t xml:space="preserve"> 6538 (</w:t>
      </w:r>
      <w:r w:rsidDel="00000000" w:rsidR="00000000" w:rsidRPr="00000000">
        <w:rPr>
          <w:i w:val="1"/>
          <w:sz w:val="22"/>
          <w:szCs w:val="22"/>
          <w:rtl w:val="0"/>
        </w:rPr>
        <w:t xml:space="preserve">S. aureus)</w:t>
      </w:r>
      <w:r w:rsidDel="00000000" w:rsidR="00000000" w:rsidRPr="00000000">
        <w:rPr>
          <w:sz w:val="22"/>
          <w:szCs w:val="22"/>
          <w:rtl w:val="0"/>
        </w:rPr>
        <w:t xml:space="preserve">, y se analizó distintas concentraciones de rodamina y PAMAM conjugado en siembra tapiz. Por otro lado, se analizó la fototoxicidad en líneas cultivos de células de adenocarcinoma cervicouterino humano (HeLa) a 24 hrs. </w:t>
      </w:r>
    </w:p>
    <w:p w:rsidR="00000000" w:rsidDel="00000000" w:rsidP="00000000" w:rsidRDefault="00000000" w:rsidRPr="00000000" w14:paraId="00000007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 determinó que el fotosensibilizador rodamina B conjugado al dendrímero Poliamidoamina (PAMAM) en diversas concentraciones micromolares, presentó actividad fototóxica al ser expuestos a la luz blanca. Esta actividad fue observada contra </w:t>
      </w:r>
      <w:r w:rsidDel="00000000" w:rsidR="00000000" w:rsidRPr="00000000">
        <w:rPr>
          <w:i w:val="1"/>
          <w:sz w:val="22"/>
          <w:szCs w:val="22"/>
          <w:rtl w:val="0"/>
        </w:rPr>
        <w:t xml:space="preserve">Staphylococcus aureus </w:t>
      </w:r>
      <w:r w:rsidDel="00000000" w:rsidR="00000000" w:rsidRPr="00000000">
        <w:rPr>
          <w:sz w:val="22"/>
          <w:szCs w:val="22"/>
          <w:rtl w:val="0"/>
        </w:rPr>
        <w:t xml:space="preserve">y también en línea celular HeLa. En los resultados de actividad bacteriana se observó </w:t>
      </w:r>
      <w:r w:rsidDel="00000000" w:rsidR="00000000" w:rsidRPr="00000000">
        <w:rPr>
          <w:color w:val="0a0e14"/>
          <w:sz w:val="22"/>
          <w:szCs w:val="22"/>
          <w:rtl w:val="0"/>
        </w:rPr>
        <w:t xml:space="preserve">que las placas sembradas con PAMAM-RITC a concentración de 100 </w:t>
      </w:r>
      <w:r w:rsidDel="00000000" w:rsidR="00000000" w:rsidRPr="00000000">
        <w:rPr>
          <w:sz w:val="22"/>
          <w:szCs w:val="22"/>
          <w:rtl w:val="0"/>
        </w:rPr>
        <w:t xml:space="preserve">µM presentaron halo de inhibición de 14 mm, y un halo de 13,5 mm a la concentración de 10 µM. En cuanto a los resultados de viabilidad celular PAMAM-RITC a la concentración de 10 µM se logró alcanzar el efecto fototóxico más alto, presentando un 60 % de viabilidad con respecto al control. </w:t>
      </w:r>
      <w:r w:rsidDel="00000000" w:rsidR="00000000" w:rsidRPr="00000000">
        <w:rPr>
          <w:color w:val="0a0e14"/>
          <w:sz w:val="22"/>
          <w:szCs w:val="22"/>
          <w:rtl w:val="0"/>
        </w:rPr>
        <w:t xml:space="preserve">Estos resultados se consideran prometedores, ya que, el nanomaterial funcionalizado es tóxico sólo en presencia de luz, por lo que es un material biocompatible en otras condiciones.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ind w:left="0" w:hanging="2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Agradecimientos: Las autoras y autores agradecen al Departamento de Tecnología Médica de la Universidad Andrés Bello y al Proyecto VRID UDEC 2021000249 por el financiamiento.</w:t>
      </w:r>
    </w:p>
    <w:p w:rsidR="00000000" w:rsidDel="00000000" w:rsidP="00000000" w:rsidRDefault="00000000" w:rsidRPr="00000000" w14:paraId="00000009">
      <w:pPr>
        <w:ind w:left="0" w:hanging="2"/>
        <w:rPr/>
      </w:pPr>
      <w:r w:rsidDel="00000000" w:rsidR="00000000" w:rsidRPr="00000000">
        <w:rPr>
          <w:rtl w:val="0"/>
        </w:rPr>
        <w:t xml:space="preserve">Referencias: [1] Díaz, C. F., Guzmán, L., Jiménez, V. A., &amp; Alderete, J. B. Polyamidoamine dendrimers of the third generation–chlorin e6 nanoconjugates: Nontoxic hybrid polymers with photodynamic activity. Journal of Applied Polymer Science,12,(2021). https://onlinelibrary.wiley.com/doi/10.1002/app.51835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850" w:top="850" w:left="850" w:right="850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right="360" w:hanging="2"/>
      <w:jc w:val="center"/>
      <w:rPr>
        <w:rFonts w:ascii="Times New Roman" w:cs="Times New Roman" w:eastAsia="Times New Roman" w:hAnsi="Times New Roman"/>
        <w:color w:val="000000"/>
        <w:sz w:val="32"/>
        <w:szCs w:val="3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7010400</wp:posOffset>
              </wp:positionH>
              <wp:positionV relativeFrom="paragraph">
                <wp:posOffset>0</wp:posOffset>
              </wp:positionV>
              <wp:extent cx="36830" cy="155575"/>
              <wp:effectExtent b="0" l="0" r="0" t="0"/>
              <wp:wrapSquare wrapText="bothSides" distB="0" distT="0" distL="0" distR="0"/>
              <wp:docPr id="102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7110" y="3711738"/>
                        <a:ext cx="17780" cy="13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7010400</wp:posOffset>
              </wp:positionH>
              <wp:positionV relativeFrom="paragraph">
                <wp:posOffset>0</wp:posOffset>
              </wp:positionV>
              <wp:extent cx="36830" cy="155575"/>
              <wp:effectExtent b="0" l="0" r="0" t="0"/>
              <wp:wrapSquare wrapText="bothSides" distB="0" distT="0" distL="0" distR="0"/>
              <wp:docPr id="102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830" cy="155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-559048</wp:posOffset>
          </wp:positionH>
          <wp:positionV relativeFrom="paragraph">
            <wp:posOffset>-180338</wp:posOffset>
          </wp:positionV>
          <wp:extent cx="7813675" cy="1379220"/>
          <wp:effectExtent b="0" l="0" r="0" t="0"/>
          <wp:wrapSquare wrapText="bothSides" distB="0" distT="0" distL="114300" distR="114300"/>
          <wp:docPr id="102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3675" cy="13792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right="36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lang w:val="es-MX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 w:hanging="1"/>
      <w:jc w:val="both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hanging="1"/>
      <w:jc w:val="both"/>
    </w:pPr>
    <w:rPr>
      <w:rFonts w:ascii="Arial" w:cs="Arial" w:eastAsia="Arial" w:hAnsi="Arial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Helvetica" w:cs="Helvetica" w:hAnsi="Helvetica"/>
      <w:position w:val="-1"/>
      <w:lang w:eastAsia="zh-CN" w:val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numPr>
        <w:ilvl w:val="1"/>
        <w:numId w:val="1"/>
      </w:numPr>
      <w:spacing w:after="60" w:before="240"/>
      <w:ind w:left="-1" w:hanging="1"/>
      <w:jc w:val="both"/>
      <w:outlineLvl w:val="1"/>
    </w:pPr>
    <w:rPr>
      <w:rFonts w:ascii="Arial" w:cs="Arial" w:hAnsi="Arial"/>
      <w:b w:val="1"/>
      <w:i w:val="1"/>
      <w:sz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numPr>
        <w:ilvl w:val="2"/>
        <w:numId w:val="1"/>
      </w:numPr>
      <w:spacing w:after="60" w:before="240"/>
      <w:ind w:left="-1" w:hanging="1"/>
      <w:jc w:val="both"/>
      <w:outlineLvl w:val="2"/>
    </w:pPr>
    <w:rPr>
      <w:rFonts w:ascii="Arial" w:cs="Arial" w:hAnsi="Arial"/>
      <w:sz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numPr>
        <w:numId w:val="2"/>
      </w:numPr>
      <w:ind w:left="-1" w:hanging="1"/>
      <w:outlineLvl w:val="3"/>
    </w:pPr>
    <w:rPr>
      <w:rFonts w:ascii="Arial" w:cs="Arial" w:hAnsi="Arial"/>
      <w:b w:val="1"/>
      <w:bCs w:val="1"/>
      <w:lang w:val="ro-RO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2z0" w:customStyle="1">
    <w:name w:val="WW8Num2z0"/>
    <w:rPr>
      <w:rFonts w:ascii="Times New Roman" w:cs="Times New Roman" w:hAnsi="Times New Roman"/>
      <w:b w:val="0"/>
      <w:i w:val="0"/>
      <w:w w:val="100"/>
      <w:position w:val="-1"/>
      <w:sz w:val="22"/>
      <w:effect w:val="none"/>
      <w:vertAlign w:val="baseline"/>
      <w:cs w:val="0"/>
      <w:em w:val="none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Arial" w:hAnsi="Courier New"/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uentedeprrafopredeter1" w:customStyle="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Caracteresdenotafinal" w:customStyle="1">
    <w:name w:val="Caracteres de nota final"/>
    <w:rPr>
      <w:w w:val="100"/>
      <w:position w:val="-1"/>
      <w:effect w:val="none"/>
      <w:vertAlign w:val="superscript"/>
      <w:cs w:val="0"/>
      <w:em w:val="none"/>
    </w:rPr>
  </w:style>
  <w:style w:type="character" w:styleId="Caracteresdenotaalpie" w:customStyle="1">
    <w:name w:val="Caracteres de nota al pie"/>
    <w:rPr>
      <w:w w:val="100"/>
      <w:position w:val="-1"/>
      <w:effect w:val="none"/>
      <w:vertAlign w:val="superscript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Textoindependiente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pPr>
      <w:suppressLineNumbers w:val="1"/>
      <w:spacing w:after="120" w:before="120"/>
    </w:pPr>
    <w:rPr>
      <w:rFonts w:ascii="Calibri" w:cs="FreeSans" w:hAnsi="Calibri"/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FreeSans"/>
    </w:rPr>
  </w:style>
  <w:style w:type="paragraph" w:styleId="Encabezado1" w:customStyle="1">
    <w:name w:val="Encabezado1"/>
    <w:basedOn w:val="Normal"/>
    <w:next w:val="Textoindependiente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paragraph" w:styleId="Pie" w:customStyle="1">
    <w:name w:val="Pie"/>
    <w:basedOn w:val="Normal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TFReferencesSection" w:customStyle="1">
    <w:name w:val="TF_References_Section"/>
    <w:basedOn w:val="Normal"/>
    <w:pPr>
      <w:spacing w:line="170" w:lineRule="atLeast"/>
      <w:ind w:left="0" w:firstLine="187"/>
      <w:jc w:val="both"/>
    </w:pPr>
    <w:rPr>
      <w:rFonts w:ascii="Times" w:cs="Times" w:hAnsi="Times"/>
      <w:sz w:val="16"/>
    </w:rPr>
  </w:style>
  <w:style w:type="paragraph" w:styleId="Textonotapie">
    <w:name w:val="footnote text"/>
    <w:basedOn w:val="TFReferencesSection"/>
    <w:next w:val="TFReferencesSection"/>
  </w:style>
  <w:style w:type="paragraph" w:styleId="TAMainText" w:customStyle="1">
    <w:name w:val="TA_Main_Text"/>
    <w:basedOn w:val="Normal"/>
    <w:pPr>
      <w:spacing w:line="240" w:lineRule="atLeast"/>
      <w:ind w:left="0" w:firstLine="202"/>
      <w:jc w:val="both"/>
    </w:pPr>
    <w:rPr>
      <w:rFonts w:ascii="Times" w:cs="Times" w:hAnsi="Times"/>
    </w:rPr>
  </w:style>
  <w:style w:type="paragraph" w:styleId="BATitle" w:customStyle="1">
    <w:name w:val="BA_Title"/>
    <w:basedOn w:val="Normal"/>
    <w:next w:val="BBAuthorName"/>
    <w:pPr>
      <w:spacing w:after="240" w:before="720" w:line="480" w:lineRule="atLeast"/>
      <w:ind w:left="0" w:right="3024" w:firstLine="0"/>
    </w:pPr>
    <w:rPr>
      <w:b w:val="1"/>
      <w:sz w:val="44"/>
    </w:rPr>
  </w:style>
  <w:style w:type="paragraph" w:styleId="BBAuthorName" w:customStyle="1">
    <w:name w:val="BB_Author_Name"/>
    <w:basedOn w:val="Normal"/>
    <w:next w:val="BCAuthorAddress"/>
    <w:pPr>
      <w:spacing w:after="240" w:line="240" w:lineRule="atLeast"/>
      <w:ind w:left="0" w:right="3024" w:firstLine="0"/>
    </w:pPr>
    <w:rPr>
      <w:b w:val="1"/>
      <w:sz w:val="22"/>
    </w:rPr>
  </w:style>
  <w:style w:type="paragraph" w:styleId="BCAuthorAddress" w:customStyle="1">
    <w:name w:val="BC_Author_Address"/>
    <w:basedOn w:val="Normal"/>
    <w:next w:val="BIEmailAddress"/>
    <w:pPr>
      <w:spacing w:after="120" w:line="240" w:lineRule="atLeast"/>
      <w:ind w:left="0" w:right="3024" w:firstLine="0"/>
    </w:pPr>
    <w:rPr>
      <w:rFonts w:ascii="Times" w:cs="Times" w:hAnsi="Times"/>
      <w:i w:val="1"/>
    </w:rPr>
  </w:style>
  <w:style w:type="paragraph" w:styleId="BIEmailAddress" w:customStyle="1">
    <w:name w:val="BI_Email_Address"/>
    <w:next w:val="AIReceive03"/>
    <w:pPr>
      <w:spacing w:after="120" w:line="240" w:lineRule="atLeast"/>
      <w:ind w:left="-1" w:right="3024" w:leftChars="-1" w:hanging="1" w:hangingChars="1"/>
      <w:textDirection w:val="btLr"/>
      <w:textAlignment w:val="top"/>
      <w:outlineLvl w:val="0"/>
    </w:pPr>
    <w:rPr>
      <w:rFonts w:ascii="Times" w:cs="Times" w:hAnsi="Times"/>
      <w:i w:val="1"/>
      <w:position w:val="-1"/>
      <w:lang w:eastAsia="zh-CN" w:val="en-US"/>
    </w:rPr>
  </w:style>
  <w:style w:type="paragraph" w:styleId="AIReceive03" w:customStyle="1">
    <w:name w:val="AI_Receive03"/>
    <w:basedOn w:val="Normal"/>
    <w:next w:val="Absbox"/>
    <w:pPr>
      <w:spacing w:after="600" w:line="240" w:lineRule="atLeast"/>
      <w:ind w:left="0" w:right="3024" w:firstLine="0"/>
    </w:pPr>
    <w:rPr>
      <w:b w:val="1"/>
      <w:sz w:val="18"/>
    </w:rPr>
  </w:style>
  <w:style w:type="paragraph" w:styleId="BDAbstract" w:customStyle="1">
    <w:name w:val="BD_Abstract"/>
    <w:pPr>
      <w:pBdr>
        <w:top w:color="000000" w:space="0" w:sz="0" w:val="none"/>
        <w:left w:color="000000" w:space="0" w:sz="0" w:val="none"/>
        <w:bottom w:color="000000" w:space="12" w:sz="6" w:val="single"/>
        <w:right w:color="000000" w:space="0" w:sz="0" w:val="none"/>
      </w:pBdr>
      <w:spacing w:after="200" w:before="200" w:line="220" w:lineRule="atLeast"/>
      <w:ind w:left="-1" w:leftChars="-1" w:hanging="1" w:hangingChars="1"/>
      <w:jc w:val="both"/>
      <w:textDirection w:val="btLr"/>
      <w:textAlignment w:val="top"/>
      <w:outlineLvl w:val="0"/>
    </w:pPr>
    <w:rPr>
      <w:rFonts w:ascii="Helvetica" w:cs="Helvetica" w:hAnsi="Helvetica"/>
      <w:b w:val="1"/>
      <w:position w:val="-1"/>
      <w:sz w:val="18"/>
      <w:lang w:eastAsia="zh-CN" w:val="en-US"/>
    </w:rPr>
  </w:style>
  <w:style w:type="paragraph" w:styleId="Absbox" w:customStyle="1">
    <w:name w:val="Absbox"/>
    <w:basedOn w:val="BDAbstract"/>
    <w:pPr>
      <w:pBdr>
        <w:top w:color="800000" w:space="0" w:sz="6" w:val="single"/>
        <w:left w:color="800000" w:space="4" w:sz="6" w:val="single"/>
        <w:bottom w:color="800000" w:space="0" w:sz="6" w:val="single"/>
        <w:right w:color="800000" w:space="4" w:sz="6" w:val="single"/>
      </w:pBdr>
      <w:shd w:color="auto" w:fill="800000" w:val="clear"/>
      <w:spacing w:after="320"/>
      <w:ind w:left="86" w:right="130" w:firstLine="0"/>
      <w:jc w:val="center"/>
    </w:pPr>
    <w:rPr>
      <w:color w:val="ffffff"/>
      <w:sz w:val="20"/>
    </w:rPr>
  </w:style>
  <w:style w:type="paragraph" w:styleId="TDAcknowledgments" w:customStyle="1">
    <w:name w:val="TD_Acknowledgments"/>
    <w:basedOn w:val="Normal"/>
    <w:next w:val="TESupportingInformation"/>
    <w:pPr>
      <w:spacing w:before="200" w:line="240" w:lineRule="atLeast"/>
      <w:ind w:left="0" w:firstLine="202"/>
      <w:jc w:val="both"/>
    </w:pPr>
    <w:rPr>
      <w:rFonts w:ascii="Times" w:cs="Times" w:hAnsi="Times"/>
    </w:rPr>
  </w:style>
  <w:style w:type="paragraph" w:styleId="TESupportingInformation" w:customStyle="1">
    <w:name w:val="TE_Supporting_Information"/>
    <w:basedOn w:val="Normal"/>
    <w:pPr>
      <w:spacing w:before="200" w:line="240" w:lineRule="atLeast"/>
      <w:ind w:left="0" w:firstLine="187"/>
      <w:jc w:val="both"/>
    </w:pPr>
    <w:rPr>
      <w:rFonts w:ascii="Times" w:cs="Times" w:hAnsi="Times"/>
    </w:rPr>
  </w:style>
  <w:style w:type="paragraph" w:styleId="VCSchemeTitle" w:customStyle="1">
    <w:name w:val="VC_Scheme_Title"/>
    <w:basedOn w:val="Normal"/>
    <w:next w:val="Normal"/>
    <w:pPr>
      <w:spacing w:after="240" w:line="200" w:lineRule="atLeast"/>
      <w:jc w:val="center"/>
    </w:pPr>
    <w:rPr>
      <w:rFonts w:ascii="Times" w:cs="Times" w:hAnsi="Times"/>
      <w:sz w:val="18"/>
    </w:rPr>
  </w:style>
  <w:style w:type="paragraph" w:styleId="VDTableTitle" w:customStyle="1">
    <w:name w:val="VD_Table_Title"/>
    <w:basedOn w:val="Normal"/>
    <w:next w:val="Normal"/>
    <w:pPr>
      <w:spacing w:after="240" w:line="200" w:lineRule="atLeast"/>
    </w:pPr>
    <w:rPr>
      <w:rFonts w:ascii="Times" w:cs="Times" w:hAnsi="Times"/>
      <w:sz w:val="18"/>
    </w:rPr>
  </w:style>
  <w:style w:type="paragraph" w:styleId="TCScheme08" w:customStyle="1">
    <w:name w:val="TC_Scheme_08"/>
    <w:basedOn w:val="Normal"/>
    <w:pPr>
      <w:spacing w:after="211" w:line="194" w:lineRule="atLeast"/>
    </w:pPr>
    <w:rPr>
      <w:sz w:val="19"/>
    </w:rPr>
  </w:style>
  <w:style w:type="paragraph" w:styleId="VAFigureCaption" w:customStyle="1">
    <w:name w:val="VA_Figure_Caption"/>
    <w:basedOn w:val="Normal"/>
    <w:next w:val="Normal"/>
    <w:pPr>
      <w:spacing w:before="240" w:line="200" w:lineRule="atLeast"/>
      <w:jc w:val="both"/>
    </w:pPr>
    <w:rPr>
      <w:rFonts w:ascii="Times" w:cs="Times" w:hAnsi="Times"/>
      <w:sz w:val="18"/>
    </w:rPr>
  </w:style>
  <w:style w:type="paragraph" w:styleId="bar" w:customStyle="1">
    <w:name w:val="bar"/>
    <w:basedOn w:val="Normal"/>
    <w:next w:val="Normal"/>
    <w:pPr>
      <w:shd w:color="auto" w:fill="800000" w:val="clear"/>
      <w:spacing w:after="80" w:before="360" w:line="220" w:lineRule="atLeast"/>
    </w:pPr>
  </w:style>
  <w:style w:type="paragraph" w:styleId="thinbar" w:customStyle="1">
    <w:name w:val="thinbar"/>
    <w:next w:val="TAMainText"/>
    <w:pPr>
      <w:pBdr>
        <w:top w:color="000000" w:space="0" w:sz="0" w:val="none"/>
        <w:left w:color="000000" w:space="0" w:sz="0" w:val="none"/>
        <w:bottom w:color="800000" w:space="1" w:sz="6" w:val="single"/>
        <w:right w:color="000000" w:space="0" w:sz="0" w:val="none"/>
      </w:pBdr>
      <w:spacing w:after="300" w:before="240" w:line="20" w:lineRule="atLeast"/>
      <w:ind w:left="-1" w:leftChars="-1" w:hanging="1" w:hangingChars="1"/>
      <w:textDirection w:val="btLr"/>
      <w:textAlignment w:val="top"/>
      <w:outlineLvl w:val="0"/>
    </w:pPr>
    <w:rPr>
      <w:rFonts w:ascii="New York" w:cs="New York" w:hAnsi="New York"/>
      <w:position w:val="-1"/>
      <w:lang w:eastAsia="zh-CN" w:val="en-US"/>
    </w:rPr>
  </w:style>
  <w:style w:type="paragraph" w:styleId="graphicbox" w:customStyle="1">
    <w:name w:val="graphicbox"/>
    <w:basedOn w:val="Normal"/>
    <w:next w:val="BDAbstract"/>
    <w:pPr>
      <w:jc w:val="center"/>
    </w:pPr>
    <w:rPr>
      <w:rFonts w:ascii="Times" w:cs="Times" w:hAnsi="Times"/>
      <w:sz w:val="18"/>
    </w:rPr>
  </w:style>
  <w:style w:type="paragraph" w:styleId="FETableFootnote" w:customStyle="1">
    <w:name w:val="FE_Table_Footnote"/>
    <w:basedOn w:val="Normal"/>
    <w:pPr>
      <w:spacing w:line="170" w:lineRule="atLeast"/>
      <w:ind w:left="0" w:firstLine="187"/>
    </w:pPr>
    <w:rPr>
      <w:sz w:val="16"/>
    </w:rPr>
  </w:style>
  <w:style w:type="paragraph" w:styleId="FDSchemeFootnote" w:customStyle="1">
    <w:name w:val="FD_Scheme_Footnote"/>
    <w:basedOn w:val="Normal"/>
  </w:style>
  <w:style w:type="paragraph" w:styleId="TCTableBody" w:customStyle="1">
    <w:name w:val="TC_Table_Body"/>
    <w:basedOn w:val="VDTableTitle"/>
    <w:pPr>
      <w:jc w:val="both"/>
    </w:pPr>
  </w:style>
  <w:style w:type="paragraph" w:styleId="Textonotaalfinal">
    <w:name w:val="endnote text"/>
    <w:basedOn w:val="Normal"/>
  </w:style>
  <w:style w:type="paragraph" w:styleId="VBChartTitle" w:customStyle="1">
    <w:name w:val="VB_Chart_Title"/>
    <w:basedOn w:val="Normal"/>
    <w:next w:val="Normal"/>
    <w:pPr>
      <w:spacing w:before="240" w:line="200" w:lineRule="atLeast"/>
      <w:jc w:val="both"/>
    </w:pPr>
    <w:rPr>
      <w:rFonts w:ascii="Times" w:cs="Times" w:hAnsi="Times"/>
      <w:sz w:val="19"/>
    </w:rPr>
  </w:style>
  <w:style w:type="paragraph" w:styleId="FCChartFootnote" w:customStyle="1">
    <w:name w:val="FC_Chart_Footnote"/>
    <w:basedOn w:val="FETableFootnote"/>
    <w:pPr>
      <w:spacing w:before="120" w:line="180" w:lineRule="atLeast"/>
      <w:jc w:val="both"/>
    </w:pPr>
    <w:rPr>
      <w:rFonts w:ascii="Times" w:cs="Times" w:hAnsi="Times"/>
      <w:sz w:val="17"/>
    </w:rPr>
  </w:style>
  <w:style w:type="paragraph" w:styleId="Cabeceraypie" w:customStyle="1">
    <w:name w:val="Cabecera y pie"/>
    <w:basedOn w:val="Normal"/>
    <w:pPr>
      <w:suppressLineNumbers w:val="1"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rFonts w:ascii="Times New Roman" w:cs="Times New Roman" w:hAnsi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lbody" w:customStyle="1">
    <w:name w:val="tl_body"/>
    <w:basedOn w:val="Normal"/>
    <w:pPr>
      <w:spacing w:line="260" w:lineRule="atLeast"/>
      <w:ind w:left="0" w:firstLine="142"/>
      <w:jc w:val="both"/>
    </w:pPr>
    <w:rPr>
      <w:rFonts w:ascii="Times New Roman" w:cs="Times New Roman" w:hAnsi="Times New Roman"/>
      <w:sz w:val="22"/>
      <w:lang w:val="en-GB"/>
    </w:rPr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paragraph" w:styleId="Contenidodelmarco" w:customStyle="1">
    <w:name w:val="Contenido del marco"/>
    <w:basedOn w:val="Normal"/>
  </w:style>
  <w:style w:type="paragraph" w:styleId="NormalWeb">
    <w:name w:val="Normal (Web)"/>
    <w:basedOn w:val="Normal"/>
    <w:pPr>
      <w:spacing w:after="280" w:before="280"/>
    </w:pPr>
    <w:rPr>
      <w:lang w:val="pl-PL"/>
    </w:rPr>
  </w:style>
  <w:style w:type="character" w:styleId="Mencinsinresolver">
    <w:name w:val="Unresolved Mention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EndNoteBibliographyTitle" w:customStyle="1">
    <w:name w:val="EndNote Bibliography Title"/>
    <w:basedOn w:val="Normal"/>
    <w:pPr>
      <w:jc w:val="center"/>
    </w:pPr>
  </w:style>
  <w:style w:type="character" w:styleId="EndNoteBibliographyTitleCar" w:customStyle="1">
    <w:name w:val="EndNote Bibliography Title Car"/>
    <w:rPr>
      <w:rFonts w:ascii="Helvetica" w:cs="Helvetica" w:hAnsi="Helvetica"/>
      <w:w w:val="100"/>
      <w:position w:val="-1"/>
      <w:effect w:val="none"/>
      <w:vertAlign w:val="baseline"/>
      <w:cs w:val="0"/>
      <w:em w:val="none"/>
      <w:lang w:eastAsia="zh-CN" w:val="en-US"/>
    </w:rPr>
  </w:style>
  <w:style w:type="paragraph" w:styleId="EndNoteBibliography" w:customStyle="1">
    <w:name w:val="EndNote Bibliography"/>
    <w:basedOn w:val="Normal"/>
    <w:pPr>
      <w:jc w:val="both"/>
    </w:pPr>
  </w:style>
  <w:style w:type="character" w:styleId="EndNoteBibliographyCar" w:customStyle="1">
    <w:name w:val="EndNote Bibliography Car"/>
    <w:rPr>
      <w:rFonts w:ascii="Helvetica" w:cs="Helvetica" w:hAnsi="Helvetica"/>
      <w:w w:val="100"/>
      <w:position w:val="-1"/>
      <w:effect w:val="none"/>
      <w:vertAlign w:val="baseline"/>
      <w:cs w:val="0"/>
      <w:em w:val="none"/>
      <w:lang w:eastAsia="zh-CN"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.diazgomez@uandresbello.edu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crFA0VgLxr7sloBGWdSf5tYj9A==">CgMxLjAyCGguZ2pkZ3hzMgloLjMwajB6bGw4AHIhMU8wWm5wcVhITGNuUUR6NzlwYjFCNGhNbS1hc2pTQnkw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2024-08-27T15:18:00Z</dcterms:created>
  <dc:creator>Adriano Lisboa Monteiro - IQ - UFRGS</dc:creator>
</cp:coreProperties>
</file>